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none"/>
          <w:lang w:eastAsia="zh-CN"/>
        </w:rPr>
        <w:t>通榆县工业和信息化局</w:t>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3</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2023年1月30日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tabs>
          <w:tab w:val="center" w:pos="4365"/>
        </w:tabs>
        <w:ind w:left="320" w:leftChars="100" w:firstLine="320" w:firstLineChars="100"/>
        <w:rPr>
          <w:rFonts w:hint="eastAsia" w:eastAsia="仿宋_GB2312"/>
          <w:lang w:eastAsia="zh-CN"/>
        </w:rPr>
      </w:pPr>
      <w:r>
        <w:t>三、支出</w:t>
      </w:r>
      <w:r>
        <w:rPr>
          <w:rFonts w:hint="eastAsia"/>
        </w:rPr>
        <w:t>总</w:t>
      </w:r>
      <w:r>
        <w:t>表</w:t>
      </w:r>
      <w:r>
        <w:rPr>
          <w:rFonts w:hint="eastAsia"/>
          <w:lang w:eastAsia="zh-CN"/>
        </w:rPr>
        <w:tab/>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spacing w:line="540" w:lineRule="exact"/>
        <w:ind w:firstLine="645"/>
        <w:rPr>
          <w:rFonts w:ascii="Times New Roman" w:hAnsi="Times New Roman" w:eastAsia="仿宋"/>
          <w:sz w:val="32"/>
          <w:szCs w:val="32"/>
        </w:rPr>
      </w:pPr>
      <w:r>
        <w:rPr>
          <w:rFonts w:hint="eastAsia" w:ascii="Times New Roman" w:hAnsi="Times New Roman" w:eastAsia="仿宋"/>
          <w:sz w:val="32"/>
          <w:szCs w:val="32"/>
        </w:rPr>
        <w:t>县工信局的主要职责是：</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（一）监测、分析全县工业经济运行态势，调节工业经济日常运行；编制并组织实施近期工业经济运行调控目标和措施，协调解决工业经济运行中的重大问题，并向县政府提出意见和建议。</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二）组织实施国家有关工业发展政策，监督检查执行情况；研究拟定全县工业发展规划并组织实施，指导全县工业结构调整，提出重点行业、重点产品的调整方案；联系工业领域社会中介组织并指导其改革与调整；协调指导全县城区集体经济发展。</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三）指导全县工业企业的改革、改组、兼并破产等工作，推进现代企业制度的建立；负责全县企业集团设立，企业改制为股份公司的初审工作；指导企业的管理、扭亏和减轻企业负担工作；指导企业管理人员培训和企业内部的法律顾问工作。</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（四）负责工业能源节约和资源综合利用工作，协调工业环境保护及清洁生产、节能、节水工作。协调全县铁路、公路等联合运输工作。</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五）研究和规划全县工业行业投资布局，负责工业技术改造项目的申报。研究推进全县企业技术进步的政策措施。负责编制并组织实施企业技术改造新产品开发规划。负责提出国家、省、市对口部门和全县用于工业和信息化财政性建设资金安排建议。</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（六）负责全县中小企业、非国有经济的宏观指导、综合协调和服务；贯彻落实《中小企业促进法》，研究制定配套措施并组织实施，监督检查实施情况，督促中小企业依法经营，维护合法权益。</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（七）研究制订全县中小企业、非国有经济的发展战略和中长期规划，检测分析中小企业、非国有经济发展动态，协调解决发展中的重大问题。</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（八）建立和完善创业辅导体系，改善创业环境，鼓励创办中小企业，发展非国有经济，推动全民创业，促进和扩大就业。</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（九）研究提出中小企业专项基金年度预算建议；拟定中小企业专项资金年度计划并组织实施；推动建立中小企业发展基金，确定基金使用方向。</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（十）研究提出促进中小企业服务体系发展的措施，加强中小企业咨询、培训、市场开拓、人才引进等服务体系建设，规范中小企业服务市场；推动中小企业对外经济技术合作。</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十一）贯彻执行国家、省、市有关科学技术发展和科技促进经济与社会发展的方针、政策和法规；组织起草地方性政策规定；研究全县科技发展的宏观战略和科技促进经济与社会发展的重大问题；研究确定全县科技发展的重大布局和优先领域；推动全县科技创新体系建设，提高科技创新能力。</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（十二）组织编制全县民用科学技术发展的中长期规划和年度计划。</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（十三）研究提出全县科技体制改革的政策措施；推动建立适应社会主义市场经济和科技自身发展规律的科技创新体制和科技创新机制。</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（十四）研究多渠道增加科技投入的措施；优化全县科技资源的配置；负责科技“三项经费”、科技专项资金和科技发展资金等有关费用的预算、决算。</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（十五）研究制定加快高新技术发展的政策措施，负责全县科技攻关计划、杰出青年计划、科技创新工程和中小企业创新计划项目的制定和组织实施。</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（十六）管理高新技术产业化及应用技术的开发与推广工作；指导科技成果转化；负责全县火炬计划、星火计划、科技兴边富民计划、科技扶贫计划、重点科技成果推广计划等科技开发计划的制定并指导实施。</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（十七）研究科技人才资源的合理配置，提出充分发挥科技人员积极性、创造科技人才成长良好环境的相关政策。</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（十八）归口管理科技外事工作；研究制定和组织实施全县对外科技合作与交流计划；</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十九）负责全县科技成果管理、科技奖励、科技保密、技术市场等工作；制定科学技术普及工作规划，实行政策引导，推动科普工作发展；促进科技咨询、招标、评估等社会中介组织的发展，推动科技服务体系的建立。</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（二十）负责科技信息、科技统计和科技宣传管理工作。</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（二十一）负责全县工业信息化管理工作，统筹推进工业信息化建设，促进信息化与工业化融合。</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（二十二）负责全县防震减灾执法监督工作。</w:t>
      </w:r>
    </w:p>
    <w:p>
      <w:pPr>
        <w:spacing w:line="540" w:lineRule="exact"/>
        <w:ind w:firstLine="640" w:firstLineChars="200"/>
        <w:rPr>
          <w:rFonts w:ascii="Times New Roman" w:hAnsi="Times New Roman" w:eastAsia="仿宋"/>
          <w:sz w:val="32"/>
          <w:szCs w:val="32"/>
        </w:rPr>
      </w:pPr>
      <w:r>
        <w:rPr>
          <w:rFonts w:hint="eastAsia" w:ascii="仿宋" w:hAnsi="仿宋" w:eastAsia="仿宋"/>
          <w:sz w:val="32"/>
          <w:szCs w:val="32"/>
        </w:rPr>
        <w:t>（二十三）承担主管</w:t>
      </w:r>
      <w:r>
        <w:rPr>
          <w:rFonts w:hint="eastAsia" w:ascii="Times New Roman" w:hAnsi="Times New Roman" w:eastAsia="仿宋"/>
          <w:sz w:val="32"/>
          <w:szCs w:val="32"/>
        </w:rPr>
        <w:t>行业领域的安全生产管理，指导督促企事业单位加强安全管理。依照有关法律、法规的规定履行安全生产监督管理职责，开展监管执法工作等职责。</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（二十四）负责引进国内外智力工作。</w:t>
      </w:r>
    </w:p>
    <w:p>
      <w:pPr>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（二十五）承办县委、县政府交办的其它事项。</w:t>
      </w:r>
    </w:p>
    <w:p>
      <w:pPr>
        <w:ind w:firstLine="640" w:firstLineChars="200"/>
      </w:pPr>
      <w:r>
        <w:rPr>
          <w:rFonts w:eastAsia="楷体_GB2312"/>
        </w:rPr>
        <w:t>二、机构设置</w:t>
      </w:r>
    </w:p>
    <w:p>
      <w:pPr>
        <w:spacing w:line="540" w:lineRule="exact"/>
        <w:ind w:firstLine="640" w:firstLineChars="200"/>
        <w:rPr>
          <w:rFonts w:hint="eastAsia" w:eastAsia="仿宋_GB2312"/>
          <w:lang w:eastAsia="zh-CN"/>
        </w:rPr>
      </w:pPr>
      <w:r>
        <w:rPr>
          <w:rFonts w:eastAsia="仿宋_GB2312"/>
        </w:rPr>
        <w:t>根据上述职责，</w:t>
      </w:r>
      <w:r>
        <w:rPr>
          <w:rFonts w:hint="eastAsia" w:eastAsia="仿宋_GB2312"/>
          <w:u w:val="none"/>
          <w:lang w:eastAsia="zh-CN"/>
        </w:rPr>
        <w:t>通榆县工业和信息化局</w:t>
      </w:r>
      <w:r>
        <w:rPr>
          <w:rFonts w:eastAsia="仿宋_GB2312"/>
        </w:rPr>
        <w:t>内设</w:t>
      </w:r>
      <w:r>
        <w:rPr>
          <w:rFonts w:hint="eastAsia" w:eastAsia="仿宋_GB2312"/>
          <w:lang w:val="en-US" w:eastAsia="zh-CN"/>
        </w:rPr>
        <w:t>5</w:t>
      </w:r>
      <w:r>
        <w:rPr>
          <w:rFonts w:eastAsia="仿宋_GB2312"/>
        </w:rPr>
        <w:t>个机构，分别为</w:t>
      </w:r>
      <w:r>
        <w:rPr>
          <w:rFonts w:hint="eastAsia"/>
          <w:lang w:eastAsia="zh-CN"/>
        </w:rPr>
        <w:t>：</w:t>
      </w:r>
    </w:p>
    <w:p>
      <w:pPr>
        <w:spacing w:line="540" w:lineRule="exact"/>
        <w:ind w:firstLine="640" w:firstLineChars="200"/>
        <w:rPr>
          <w:rFonts w:hint="eastAsia" w:ascii="仿宋" w:hAnsi="仿宋" w:eastAsia="仿宋"/>
          <w:sz w:val="32"/>
          <w:szCs w:val="32"/>
        </w:rPr>
      </w:pPr>
      <w:r>
        <w:rPr>
          <w:rFonts w:hint="eastAsia" w:ascii="仿宋" w:hAnsi="仿宋" w:eastAsia="仿宋" w:cs="方正楷体简体"/>
          <w:sz w:val="32"/>
          <w:szCs w:val="32"/>
        </w:rPr>
        <w:t>（一）综合科。</w:t>
      </w:r>
      <w:r>
        <w:rPr>
          <w:rFonts w:hint="eastAsia" w:ascii="仿宋" w:hAnsi="仿宋" w:eastAsia="仿宋"/>
          <w:sz w:val="32"/>
          <w:szCs w:val="32"/>
        </w:rPr>
        <w:t>综合协调局机关日常工作；组织制定局机关内部管理的有关规章制度和工作计划并监督执行；负责会议组织、人事、文秘、信息、档案、机要、财务、资产、外国专家管理、离退休人员管理服务等工作。</w:t>
      </w:r>
    </w:p>
    <w:p>
      <w:pPr>
        <w:numPr>
          <w:ilvl w:val="0"/>
          <w:numId w:val="1"/>
        </w:numPr>
        <w:spacing w:line="540" w:lineRule="exact"/>
        <w:ind w:firstLine="640" w:firstLineChars="200"/>
        <w:rPr>
          <w:rFonts w:hint="eastAsia" w:ascii="仿宋" w:hAnsi="仿宋" w:eastAsia="仿宋"/>
          <w:sz w:val="32"/>
          <w:szCs w:val="32"/>
        </w:rPr>
      </w:pPr>
      <w:r>
        <w:rPr>
          <w:rFonts w:hint="eastAsia" w:ascii="仿宋" w:hAnsi="仿宋" w:eastAsia="仿宋" w:cs="方正楷体简体"/>
          <w:sz w:val="32"/>
          <w:szCs w:val="32"/>
        </w:rPr>
        <w:t>中小企业发展服务科。</w:t>
      </w:r>
      <w:r>
        <w:rPr>
          <w:rFonts w:hint="eastAsia" w:ascii="仿宋" w:hAnsi="仿宋" w:eastAsia="仿宋"/>
          <w:sz w:val="32"/>
          <w:szCs w:val="32"/>
        </w:rPr>
        <w:t>检测分析工业经济和中小企业发展的运行态势，组织解决运行中的重大问题；研究提出近期工业经济运行调控目标和中小企业发展战略，拟定中长期规划和年度计划并组织实施；制定应急协调预案，负责紧急情况下重要物质生产、供应和调运的组织协调；指导工业企业的扭亏增盈工作，监督扭亏资金、经济运行调度基金的使用；负责列入省重点工业企业生产监控、协调及扶持政策措施的落实；指导企业筹措、活化生产流动资金和市场营销工作；负责申请省中小企业发展专项资金，推动建立中小企业发展基金，研究确定资金使用方向，并负责监督检查；指导中小企业调整产业结构、重点项目建设、企业布局；负责工业化与信息化融合和工业企业信息化管理工作；推动非国有企业参与老工业基地改造；负责中小企业的统计工作负责工业企业技术改造审核、项目调度、统计等管理工作；贯彻执行国家和省、市国有企业改革的有关方针、政策，拟定和实施企业改革方案、推进现代企业制度的建立；研究提出企业股份制改造意见；负责企业集团设立初审和规范工作；编制并组织实施企业兼并破产计划；协调有关部门和债权金融机构对破产企业立项的申报审核；监督和规范企业兼并破产工作，配合有关部门做好再就业工作。负责经济局项目申报工作，负责解答公民、法人和其它组织关于办理项目申报的有关程序及规定的咨询沟通协调工作。</w:t>
      </w:r>
    </w:p>
    <w:p>
      <w:pPr>
        <w:spacing w:line="540" w:lineRule="exact"/>
        <w:ind w:firstLine="640" w:firstLineChars="200"/>
        <w:rPr>
          <w:rFonts w:hint="eastAsia" w:ascii="仿宋" w:hAnsi="仿宋" w:eastAsia="仿宋"/>
          <w:sz w:val="36"/>
          <w:szCs w:val="36"/>
        </w:rPr>
      </w:pPr>
      <w:r>
        <w:rPr>
          <w:rFonts w:hint="eastAsia" w:ascii="仿宋" w:hAnsi="仿宋" w:eastAsia="仿宋" w:cs="方正楷体简体"/>
          <w:sz w:val="32"/>
          <w:szCs w:val="32"/>
        </w:rPr>
        <w:t>（三）资源与交通科（县道口办公室、安全生产监督管理科）。</w:t>
      </w:r>
      <w:r>
        <w:rPr>
          <w:rFonts w:hint="eastAsia" w:ascii="仿宋" w:hAnsi="仿宋" w:eastAsia="仿宋"/>
          <w:sz w:val="32"/>
          <w:szCs w:val="32"/>
        </w:rPr>
        <w:t>承担主管行业领域的安全生产管理，指导督促企事业单位加强安全管理。依照有关法律、法规的规定履行安全生产监督管理职责，开展监管执法工作等职责。负责全县防震减灾执法监督工作。指导中小企业对外经济交流合作和招商引资活动。组织实施国家有关工业企业资源节约、综合利用和发展新能源的有关政策法规、推进以节能降耗、综合利用、环境保护、工业节水为主要内容的新产品、新技术开发和设备改造；组织协调工业环境保护工作；负责多种运输方式运行中的组织协调；负责全县铁路专用线和铁路道口管理；协调处理全县运输工作中的重大问题；负责联运代理服务市场的管理，规范联运代理服务经营行业，实施联运行业管理；</w:t>
      </w:r>
    </w:p>
    <w:p>
      <w:pPr>
        <w:spacing w:line="540" w:lineRule="exact"/>
        <w:ind w:firstLine="592" w:firstLineChars="185"/>
        <w:rPr>
          <w:rFonts w:hint="eastAsia" w:ascii="仿宋" w:hAnsi="仿宋" w:eastAsia="仿宋"/>
          <w:sz w:val="32"/>
          <w:szCs w:val="32"/>
        </w:rPr>
      </w:pPr>
      <w:r>
        <w:rPr>
          <w:rFonts w:hint="eastAsia" w:ascii="仿宋" w:hAnsi="仿宋" w:eastAsia="仿宋" w:cs="方正楷体简体"/>
          <w:sz w:val="32"/>
          <w:szCs w:val="32"/>
        </w:rPr>
        <w:t>（四）科技科。</w:t>
      </w:r>
      <w:r>
        <w:rPr>
          <w:rFonts w:hint="eastAsia" w:ascii="仿宋" w:hAnsi="仿宋" w:eastAsia="仿宋"/>
          <w:sz w:val="32"/>
          <w:szCs w:val="32"/>
        </w:rPr>
        <w:t>贯彻执行国家、省、市有关科学技术发展和科技促进经济与社会发展的方针、政策和法规；研究全县科技发展的宏观战略和科技促进经济与社会发展的重大问题；研究确定全县科技发展的重大布局和优先领域；推动全县科技创新体系建设，提高科技创新能力；研究拟订加强基础性研究、高新技术研究发展的建议和措施；负责拟订全县科技支撑计划、科技条件与平台建设计划和科技成果转化计划并组织实施；负责统筹协调基础研究、前沿技术研究、重大社会公益性技术研究及关键技术、共性技术研究；研究多渠道增加科技投入的措施；优化全县科技资源的配置；负责归口管理科学事业费、应用技术研究与开发资金、科技专项资金和科技发展资金等有关费用的预算及其使用监督检查，会同有关部门提出科技资源合理配置的建议和措施，优化科技资源配置；研究制定加快高新技术发展的措施，负责全县科技攻关计划、杰出青年计划、科技创新工程、中药现代化项目和中小企业创新计划项目的制定和组织实施；管理高新技术产业化及应用技术的开发与推广工作；指导科技成果转化；负责全县火炬计划、星火计划、重点科技成果推广计划等科技开发计划的制定并指导实施。</w:t>
      </w:r>
    </w:p>
    <w:p>
      <w:pPr>
        <w:spacing w:line="540" w:lineRule="exact"/>
        <w:ind w:firstLine="645"/>
        <w:rPr>
          <w:rFonts w:ascii="仿宋" w:hAnsi="仿宋" w:eastAsia="仿宋"/>
          <w:sz w:val="32"/>
          <w:szCs w:val="32"/>
        </w:rPr>
      </w:pPr>
      <w:r>
        <w:rPr>
          <w:rFonts w:hint="eastAsia" w:ascii="仿宋" w:hAnsi="仿宋" w:eastAsia="仿宋" w:cs="方正楷体简体"/>
          <w:sz w:val="32"/>
          <w:szCs w:val="32"/>
          <w:lang w:eastAsia="zh-CN"/>
        </w:rPr>
        <w:t>（五）</w:t>
      </w:r>
      <w:r>
        <w:rPr>
          <w:rFonts w:hint="eastAsia" w:ascii="仿宋" w:hAnsi="仿宋" w:eastAsia="仿宋" w:cs="方正楷体简体"/>
          <w:sz w:val="32"/>
          <w:szCs w:val="32"/>
        </w:rPr>
        <w:t>机关党委。</w:t>
      </w:r>
      <w:r>
        <w:rPr>
          <w:rFonts w:hint="eastAsia" w:ascii="仿宋" w:hAnsi="仿宋" w:eastAsia="仿宋"/>
          <w:sz w:val="32"/>
          <w:szCs w:val="32"/>
        </w:rPr>
        <w:t>负责机关和直属单位的党群工作。</w:t>
      </w:r>
    </w:p>
    <w:p>
      <w:pPr>
        <w:pStyle w:val="51"/>
        <w:ind w:firstLine="640" w:firstLineChars="200"/>
        <w:rPr>
          <w:rFonts w:eastAsia="黑体"/>
          <w:sz w:val="36"/>
          <w:szCs w:val="36"/>
        </w:rPr>
      </w:pPr>
      <w:r>
        <w:rPr>
          <w:rFonts w:eastAsia="仿宋_GB2312"/>
        </w:rPr>
        <w:t>下设</w:t>
      </w:r>
      <w:r>
        <w:rPr>
          <w:rFonts w:hint="eastAsia" w:eastAsia="仿宋_GB2312"/>
          <w:lang w:val="en-US" w:eastAsia="zh-CN"/>
        </w:rPr>
        <w:t>1</w:t>
      </w:r>
      <w:r>
        <w:rPr>
          <w:rFonts w:eastAsia="仿宋_GB2312"/>
        </w:rPr>
        <w:t>家预算单位，为</w:t>
      </w:r>
      <w:r>
        <w:rPr>
          <w:rFonts w:hint="eastAsia" w:eastAsia="仿宋_GB2312"/>
          <w:lang w:eastAsia="zh-CN"/>
        </w:rPr>
        <w:t>通榆县工业和信息化局。</w:t>
      </w:r>
    </w:p>
    <w:p>
      <w:pPr>
        <w:ind w:firstLine="720" w:firstLineChars="200"/>
        <w:jc w:val="center"/>
        <w:rPr>
          <w:rFonts w:eastAsia="黑体"/>
          <w:sz w:val="36"/>
          <w:szCs w:val="36"/>
        </w:rPr>
      </w:pPr>
      <w:r>
        <w:rPr>
          <w:rFonts w:eastAsia="黑体"/>
          <w:sz w:val="36"/>
          <w:szCs w:val="36"/>
        </w:rPr>
        <w:t>第二部分 预算表格</w:t>
      </w:r>
    </w:p>
    <w:p>
      <w:pPr>
        <w:ind w:firstLine="645"/>
        <w:rPr>
          <w:rFonts w:hAnsi="楷体" w:eastAsia="楷体"/>
        </w:rPr>
      </w:pPr>
    </w:p>
    <w:tbl>
      <w:tblPr>
        <w:tblStyle w:val="9"/>
        <w:tblW w:w="88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9"/>
        <w:gridCol w:w="2791"/>
        <w:gridCol w:w="1319"/>
        <w:gridCol w:w="2987"/>
        <w:gridCol w:w="13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88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40"/>
                <w:szCs w:val="40"/>
                <w:u w:val="none"/>
              </w:rPr>
            </w:pPr>
            <w:r>
              <w:rPr>
                <w:rFonts w:hint="eastAsia" w:ascii="黑体" w:hAnsi="宋体" w:eastAsia="黑体" w:cs="黑体"/>
                <w:i w:val="0"/>
                <w:iCs w:val="0"/>
                <w:color w:val="000000"/>
                <w:kern w:val="0"/>
                <w:sz w:val="40"/>
                <w:szCs w:val="40"/>
                <w:u w:val="none"/>
                <w:lang w:val="en-US" w:eastAsia="zh-CN" w:bidi="ar"/>
              </w:rPr>
              <w:t>收支总表(预算表1)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gridSpan w:val="3"/>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预算单位：通榆县工业和信息化局</w:t>
            </w:r>
          </w:p>
        </w:tc>
        <w:tc>
          <w:tcPr>
            <w:tcW w:w="0" w:type="auto"/>
            <w:gridSpan w:val="2"/>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r>
              <w:rPr>
                <w:rFonts w:hint="eastAsia" w:ascii="Arial" w:hAnsi="Arial" w:eastAsia="宋体" w:cs="Arial"/>
                <w:i w:val="0"/>
                <w:iCs w:val="0"/>
                <w:color w:val="000000"/>
                <w:kern w:val="0"/>
                <w:sz w:val="20"/>
                <w:szCs w:val="20"/>
                <w:u w:val="none"/>
                <w:lang w:val="en-US" w:eastAsia="zh-CN" w:bidi="ar"/>
              </w:rPr>
              <w:t>万</w:t>
            </w:r>
            <w:r>
              <w:rPr>
                <w:rFonts w:hint="default" w:ascii="Arial" w:hAnsi="Arial" w:eastAsia="宋体" w:cs="Arial"/>
                <w:i w:val="0"/>
                <w:iCs w:val="0"/>
                <w:color w:val="000000"/>
                <w:kern w:val="0"/>
                <w:sz w:val="20"/>
                <w:szCs w:val="20"/>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序号</w:t>
            </w:r>
          </w:p>
        </w:tc>
        <w:tc>
          <w:tcPr>
            <w:tcW w:w="4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收                             入</w:t>
            </w:r>
          </w:p>
        </w:tc>
        <w:tc>
          <w:tcPr>
            <w:tcW w:w="4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b/>
                <w:bCs/>
                <w:i w:val="0"/>
                <w:iCs w:val="0"/>
                <w:color w:val="000000"/>
                <w:sz w:val="20"/>
                <w:szCs w:val="20"/>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项                   目</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2023年预算</w:t>
            </w: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项                目</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2023年预算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一、财政拨款收入</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198.83</w:t>
            </w: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一、一般公共服务支出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173.07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一般公共预算拨款收入</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198.83</w:t>
            </w: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二、外交支出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政府性基金预算拨款收入</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三、国防支出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国有资本经营预算拨款收入</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四、公共安全支出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二、财政专户管理资金收入</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五、教育支出　　</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三、单位资金收入</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六、科学技术支出　</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事业收入</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七、文化旅游体育与传媒支出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事业单位经营收入</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八、社会保障和就业支出　</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19</w:t>
            </w:r>
            <w:r>
              <w:rPr>
                <w:rFonts w:hint="eastAsia" w:ascii="Arial" w:hAnsi="Arial" w:eastAsia="宋体" w:cs="Arial"/>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上级补助收入</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九、社会保险基金支出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附属单位上缴收入</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十、卫生健康支出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6.56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其他收入</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十一、节能环保支出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20"/>
                <w:szCs w:val="20"/>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十二、城乡社区支出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20"/>
                <w:szCs w:val="20"/>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十三、农林水支出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14</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20"/>
                <w:szCs w:val="20"/>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十四、交通运输支出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20"/>
                <w:szCs w:val="20"/>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十五、资源勘探工业信息等支出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20"/>
                <w:szCs w:val="20"/>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十六、商业服务业等支出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17</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20"/>
                <w:szCs w:val="20"/>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十七、金融支出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18</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20"/>
                <w:szCs w:val="20"/>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十八、援助其他地区支出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19</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20"/>
                <w:szCs w:val="20"/>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十九、自然资源海洋气象等支出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20"/>
                <w:szCs w:val="20"/>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二十、住房保障支出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21</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20"/>
                <w:szCs w:val="20"/>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二十一、粮油物资储备支出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22</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20"/>
                <w:szCs w:val="20"/>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二十二、国有资本经营预算支出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23</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20"/>
                <w:szCs w:val="20"/>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二十三、灾害防治及应急管理支出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24</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20"/>
                <w:szCs w:val="20"/>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二十四、其他支出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20"/>
                <w:szCs w:val="20"/>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二十五、债务付息支出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26</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20"/>
                <w:szCs w:val="20"/>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二十六、债务发行费用支出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27</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20"/>
                <w:szCs w:val="20"/>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二十七、抗疫特别国债安排的支出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28</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本　年　收　入　合　计</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198.83</w:t>
            </w: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本　年　支　出　合　计</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198.83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29</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财政拨款结转</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结转下年支出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其他收入结转结余</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31</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用事业基金弥补收支差额</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Arial" w:hAnsi="Arial" w:cs="Arial"/>
                <w:i w:val="0"/>
                <w:iCs w:val="0"/>
                <w:color w:val="000000"/>
                <w:sz w:val="20"/>
                <w:szCs w:val="20"/>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32</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收　 入　 总　 计</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198.83</w:t>
            </w:r>
          </w:p>
        </w:tc>
        <w:tc>
          <w:tcPr>
            <w:tcW w:w="3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支　 出　 总　 计</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198.83</w:t>
            </w:r>
          </w:p>
        </w:tc>
      </w:tr>
    </w:tbl>
    <w:p>
      <w:pPr>
        <w:ind w:firstLine="645"/>
        <w:rPr>
          <w:rFonts w:eastAsia="楷体"/>
        </w:rPr>
      </w:pPr>
      <w:r>
        <w:rPr>
          <w:rFonts w:hAnsi="楷体" w:eastAsia="楷体"/>
        </w:rPr>
        <w:br w:type="page"/>
      </w:r>
    </w:p>
    <w:tbl>
      <w:tblPr>
        <w:tblStyle w:val="9"/>
        <w:tblW w:w="889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31"/>
        <w:gridCol w:w="447"/>
        <w:gridCol w:w="760"/>
        <w:gridCol w:w="735"/>
        <w:gridCol w:w="765"/>
        <w:gridCol w:w="390"/>
        <w:gridCol w:w="345"/>
        <w:gridCol w:w="375"/>
        <w:gridCol w:w="390"/>
        <w:gridCol w:w="390"/>
        <w:gridCol w:w="420"/>
        <w:gridCol w:w="450"/>
        <w:gridCol w:w="405"/>
        <w:gridCol w:w="420"/>
        <w:gridCol w:w="360"/>
        <w:gridCol w:w="345"/>
        <w:gridCol w:w="330"/>
        <w:gridCol w:w="330"/>
        <w:gridCol w:w="44"/>
        <w:gridCol w:w="361"/>
        <w:gridCol w:w="461"/>
        <w:gridCol w:w="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4" w:type="dxa"/>
          <w:trHeight w:val="800" w:hRule="atLeast"/>
        </w:trPr>
        <w:tc>
          <w:tcPr>
            <w:tcW w:w="8854" w:type="dxa"/>
            <w:gridSpan w:val="21"/>
            <w:tcBorders>
              <w:top w:val="nil"/>
              <w:left w:val="nil"/>
              <w:bottom w:val="nil"/>
              <w:right w:val="nil"/>
            </w:tcBorders>
            <w:shd w:val="clear" w:color="auto" w:fill="auto"/>
            <w:vAlign w:val="center"/>
          </w:tcPr>
          <w:p>
            <w:pPr>
              <w:keepNext w:val="0"/>
              <w:keepLines w:val="0"/>
              <w:widowControl/>
              <w:suppressLineNumbers w:val="0"/>
              <w:ind w:firstLine="2880" w:firstLineChars="800"/>
              <w:jc w:val="left"/>
              <w:textAlignment w:val="center"/>
              <w:rPr>
                <w:rFonts w:ascii="黑体" w:hAnsi="宋体" w:eastAsia="黑体" w:cs="黑体"/>
                <w:i w:val="0"/>
                <w:iCs w:val="0"/>
                <w:color w:val="000000"/>
                <w:sz w:val="12"/>
                <w:szCs w:val="12"/>
                <w:u w:val="none"/>
              </w:rPr>
            </w:pPr>
            <w:r>
              <w:rPr>
                <w:rFonts w:hint="eastAsia" w:ascii="黑体" w:hAnsi="宋体" w:eastAsia="黑体" w:cs="黑体"/>
                <w:i w:val="0"/>
                <w:iCs w:val="0"/>
                <w:color w:val="000000"/>
                <w:kern w:val="0"/>
                <w:sz w:val="36"/>
                <w:szCs w:val="36"/>
                <w:u w:val="none"/>
                <w:lang w:val="en-US" w:eastAsia="zh-CN" w:bidi="ar"/>
              </w:rPr>
              <w:t>收入总表(预算表2)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4" w:type="dxa"/>
          <w:trHeight w:val="500" w:hRule="atLeast"/>
        </w:trPr>
        <w:tc>
          <w:tcPr>
            <w:tcW w:w="7988" w:type="dxa"/>
            <w:gridSpan w:val="18"/>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6"/>
                <w:szCs w:val="16"/>
                <w:u w:val="none"/>
                <w:lang w:val="en-US" w:eastAsia="zh-CN" w:bidi="ar"/>
              </w:rPr>
              <w:t>预算单位：通榆县工业和信息化局</w:t>
            </w:r>
          </w:p>
        </w:tc>
        <w:tc>
          <w:tcPr>
            <w:tcW w:w="866" w:type="dxa"/>
            <w:gridSpan w:val="3"/>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2"/>
                <w:szCs w:val="12"/>
                <w:u w:val="none"/>
              </w:rPr>
            </w:pPr>
            <w:r>
              <w:rPr>
                <w:rFonts w:hint="eastAsia" w:ascii="宋体" w:hAnsi="宋体" w:eastAsia="宋体" w:cs="宋体"/>
                <w:b w:val="0"/>
                <w:bCs w:val="0"/>
                <w:i w:val="0"/>
                <w:iCs w:val="0"/>
                <w:color w:val="000000"/>
                <w:kern w:val="0"/>
                <w:sz w:val="13"/>
                <w:szCs w:val="13"/>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4" w:type="dxa"/>
          <w:trHeight w:val="255" w:hRule="atLeast"/>
        </w:trPr>
        <w:tc>
          <w:tcPr>
            <w:tcW w:w="3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序号</w:t>
            </w:r>
          </w:p>
        </w:tc>
        <w:tc>
          <w:tcPr>
            <w:tcW w:w="4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部门（单位）名称</w:t>
            </w:r>
          </w:p>
        </w:tc>
        <w:tc>
          <w:tcPr>
            <w:tcW w:w="7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466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本年收入</w:t>
            </w:r>
          </w:p>
        </w:tc>
        <w:tc>
          <w:tcPr>
            <w:tcW w:w="265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0" w:hRule="atLeast"/>
        </w:trPr>
        <w:tc>
          <w:tcPr>
            <w:tcW w:w="3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2"/>
                <w:szCs w:val="12"/>
                <w:u w:val="none"/>
              </w:rPr>
            </w:pPr>
          </w:p>
        </w:tc>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2"/>
                <w:szCs w:val="12"/>
                <w:u w:val="none"/>
              </w:rPr>
            </w:pPr>
          </w:p>
        </w:tc>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一般公共预算</w:t>
            </w: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政府性基金预算</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国有资本经营预算</w:t>
            </w:r>
          </w:p>
        </w:tc>
        <w:tc>
          <w:tcPr>
            <w:tcW w:w="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财政专户管理资金</w:t>
            </w: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事业收入</w:t>
            </w: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事业单位经营收入</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上级补助收入</w:t>
            </w: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附属单位上缴收入</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其他收入</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小计</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一般公共预算拨款结转</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政府性基金预算拨款结转</w:t>
            </w:r>
          </w:p>
        </w:tc>
        <w:tc>
          <w:tcPr>
            <w:tcW w:w="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国有资本经营预算拨款结转</w:t>
            </w:r>
          </w:p>
        </w:tc>
        <w:tc>
          <w:tcPr>
            <w:tcW w:w="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财政专户管理资金结转结余</w:t>
            </w:r>
          </w:p>
        </w:tc>
        <w:tc>
          <w:tcPr>
            <w:tcW w:w="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单位资金结转结余</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用事业基金弥补收支差额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Arial" w:hAnsi="Arial" w:cs="Arial"/>
                <w:i w:val="0"/>
                <w:iCs w:val="0"/>
                <w:color w:val="000000"/>
                <w:sz w:val="12"/>
                <w:szCs w:val="12"/>
                <w:u w:val="none"/>
              </w:rPr>
            </w:pPr>
            <w:r>
              <w:rPr>
                <w:rFonts w:hint="default" w:ascii="Arial" w:hAnsi="Arial" w:eastAsia="宋体" w:cs="Arial"/>
                <w:i w:val="0"/>
                <w:iCs w:val="0"/>
                <w:color w:val="000000"/>
                <w:kern w:val="0"/>
                <w:sz w:val="12"/>
                <w:szCs w:val="12"/>
                <w:u w:val="none"/>
                <w:lang w:val="en-US" w:eastAsia="zh-CN" w:bidi="ar"/>
              </w:rPr>
              <w:t>1</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6"/>
                <w:szCs w:val="16"/>
                <w:u w:val="none"/>
                <w:lang w:val="en-US" w:eastAsia="zh-CN" w:bidi="ar"/>
              </w:rPr>
              <w:t>合计</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eastAsia="仿宋_GB2312" w:cs="Arial"/>
                <w:i w:val="0"/>
                <w:iCs w:val="0"/>
                <w:color w:val="000000"/>
                <w:sz w:val="16"/>
                <w:szCs w:val="16"/>
                <w:u w:val="none"/>
                <w:lang w:val="en-US" w:eastAsia="zh-CN"/>
              </w:rPr>
            </w:pPr>
            <w:r>
              <w:rPr>
                <w:rFonts w:hint="eastAsia" w:ascii="Arial" w:hAnsi="Arial" w:cs="Arial"/>
                <w:i w:val="0"/>
                <w:iCs w:val="0"/>
                <w:color w:val="000000"/>
                <w:sz w:val="16"/>
                <w:szCs w:val="16"/>
                <w:u w:val="none"/>
                <w:lang w:val="en-US" w:eastAsia="zh-CN"/>
              </w:rPr>
              <w:t>198.83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eastAsia="仿宋_GB2312" w:cs="Arial"/>
                <w:i w:val="0"/>
                <w:iCs w:val="0"/>
                <w:color w:val="000000"/>
                <w:sz w:val="16"/>
                <w:szCs w:val="16"/>
                <w:u w:val="none"/>
                <w:lang w:val="en-US" w:eastAsia="zh-CN"/>
              </w:rPr>
            </w:pPr>
            <w:r>
              <w:rPr>
                <w:rFonts w:hint="eastAsia" w:ascii="Arial" w:hAnsi="Arial" w:cs="Arial"/>
                <w:i w:val="0"/>
                <w:iCs w:val="0"/>
                <w:color w:val="000000"/>
                <w:sz w:val="16"/>
                <w:szCs w:val="16"/>
                <w:u w:val="none"/>
                <w:lang w:val="en-US" w:eastAsia="zh-CN"/>
              </w:rPr>
              <w:t>198.83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eastAsia="仿宋_GB2312" w:cs="Arial"/>
                <w:i w:val="0"/>
                <w:iCs w:val="0"/>
                <w:color w:val="000000"/>
                <w:sz w:val="16"/>
                <w:szCs w:val="16"/>
                <w:u w:val="none"/>
                <w:lang w:val="en-US" w:eastAsia="zh-CN"/>
              </w:rPr>
            </w:pPr>
            <w:r>
              <w:rPr>
                <w:rFonts w:hint="eastAsia" w:ascii="Arial" w:hAnsi="Arial" w:cs="Arial"/>
                <w:i w:val="0"/>
                <w:iCs w:val="0"/>
                <w:color w:val="000000"/>
                <w:sz w:val="16"/>
                <w:szCs w:val="16"/>
                <w:u w:val="none"/>
                <w:lang w:val="en-US" w:eastAsia="zh-CN"/>
              </w:rPr>
              <w:t>198.83</w:t>
            </w: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c>
          <w:tcPr>
            <w:tcW w:w="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c>
          <w:tcPr>
            <w:tcW w:w="3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0" w:hRule="atLeast"/>
        </w:trPr>
        <w:tc>
          <w:tcPr>
            <w:tcW w:w="3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2"/>
                <w:szCs w:val="12"/>
                <w:u w:val="none"/>
              </w:rPr>
            </w:pPr>
            <w:r>
              <w:rPr>
                <w:rFonts w:hint="eastAsia" w:ascii="Arial" w:hAnsi="Arial" w:eastAsia="宋体" w:cs="Arial"/>
                <w:i w:val="0"/>
                <w:iCs w:val="0"/>
                <w:color w:val="000000"/>
                <w:kern w:val="0"/>
                <w:sz w:val="12"/>
                <w:szCs w:val="12"/>
                <w:u w:val="none"/>
                <w:lang w:val="en-US" w:eastAsia="zh-CN" w:bidi="ar"/>
              </w:rPr>
              <w:t>2</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　</w:t>
            </w:r>
            <w:r>
              <w:rPr>
                <w:rFonts w:hint="eastAsia" w:ascii="宋体" w:hAnsi="宋体" w:eastAsia="宋体" w:cs="宋体"/>
                <w:i w:val="0"/>
                <w:iCs w:val="0"/>
                <w:color w:val="000000"/>
                <w:kern w:val="0"/>
                <w:sz w:val="16"/>
                <w:szCs w:val="16"/>
                <w:u w:val="none"/>
                <w:lang w:val="en-US" w:eastAsia="zh-CN" w:bidi="ar"/>
              </w:rPr>
              <w:t>通榆县工业和信息化局</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16"/>
                <w:szCs w:val="16"/>
                <w:u w:val="none"/>
                <w:lang w:val="en-US"/>
              </w:rPr>
            </w:pPr>
            <w:r>
              <w:rPr>
                <w:rFonts w:hint="eastAsia" w:ascii="Arial" w:hAnsi="Arial" w:eastAsia="宋体" w:cs="Arial"/>
                <w:i w:val="0"/>
                <w:iCs w:val="0"/>
                <w:color w:val="000000"/>
                <w:kern w:val="0"/>
                <w:sz w:val="16"/>
                <w:szCs w:val="16"/>
                <w:u w:val="none"/>
                <w:lang w:val="en-US" w:eastAsia="zh-CN" w:bidi="ar"/>
              </w:rPr>
              <w:t>198.83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16"/>
                <w:szCs w:val="16"/>
                <w:u w:val="none"/>
                <w:lang w:val="en-US"/>
              </w:rPr>
            </w:pPr>
            <w:r>
              <w:rPr>
                <w:rFonts w:hint="eastAsia" w:ascii="Arial" w:hAnsi="Arial" w:eastAsia="宋体" w:cs="Arial"/>
                <w:i w:val="0"/>
                <w:iCs w:val="0"/>
                <w:color w:val="000000"/>
                <w:kern w:val="0"/>
                <w:sz w:val="16"/>
                <w:szCs w:val="16"/>
                <w:u w:val="none"/>
                <w:lang w:val="en-US" w:eastAsia="zh-CN" w:bidi="ar"/>
              </w:rPr>
              <w:t>198.83</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16"/>
                <w:szCs w:val="16"/>
                <w:u w:val="none"/>
                <w:lang w:val="en-US"/>
              </w:rPr>
            </w:pPr>
            <w:r>
              <w:rPr>
                <w:rFonts w:hint="eastAsia" w:ascii="Arial" w:hAnsi="Arial" w:eastAsia="宋体" w:cs="Arial"/>
                <w:i w:val="0"/>
                <w:iCs w:val="0"/>
                <w:color w:val="000000"/>
                <w:kern w:val="0"/>
                <w:sz w:val="16"/>
                <w:szCs w:val="16"/>
                <w:u w:val="none"/>
                <w:lang w:val="en-US" w:eastAsia="zh-CN" w:bidi="ar"/>
              </w:rPr>
              <w:t>198.83</w:t>
            </w: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c>
          <w:tcPr>
            <w:tcW w:w="3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c>
          <w:tcPr>
            <w:tcW w:w="3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c>
          <w:tcPr>
            <w:tcW w:w="3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12"/>
                <w:szCs w:val="12"/>
                <w:u w:val="none"/>
              </w:rPr>
            </w:pPr>
          </w:p>
        </w:tc>
      </w:tr>
    </w:tbl>
    <w:p>
      <w:pPr>
        <w:ind w:firstLine="640" w:firstLineChars="200"/>
        <w:rPr>
          <w:rFonts w:eastAsia="楷体"/>
        </w:rPr>
      </w:pPr>
    </w:p>
    <w:p>
      <w:pPr>
        <w:ind w:firstLine="640" w:firstLineChars="200"/>
        <w:rPr>
          <w:rFonts w:eastAsia="楷体"/>
        </w:rPr>
      </w:pPr>
    </w:p>
    <w:p>
      <w:pPr>
        <w:ind w:firstLine="640" w:firstLineChars="200"/>
        <w:rPr>
          <w:rFonts w:eastAsia="楷体"/>
        </w:rPr>
      </w:pPr>
    </w:p>
    <w:p>
      <w:pPr>
        <w:ind w:firstLine="640" w:firstLineChars="200"/>
        <w:rPr>
          <w:rFonts w:eastAsia="楷体"/>
        </w:rPr>
      </w:pPr>
    </w:p>
    <w:tbl>
      <w:tblPr>
        <w:tblStyle w:val="9"/>
        <w:tblW w:w="86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63"/>
        <w:gridCol w:w="995"/>
        <w:gridCol w:w="928"/>
        <w:gridCol w:w="1277"/>
        <w:gridCol w:w="1277"/>
        <w:gridCol w:w="925"/>
        <w:gridCol w:w="925"/>
        <w:gridCol w:w="928"/>
        <w:gridCol w:w="9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64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40"/>
                <w:szCs w:val="40"/>
                <w:u w:val="none"/>
              </w:rPr>
            </w:pPr>
            <w:r>
              <w:rPr>
                <w:rFonts w:hint="eastAsia" w:ascii="黑体" w:hAnsi="宋体" w:eastAsia="黑体" w:cs="黑体"/>
                <w:i w:val="0"/>
                <w:iCs w:val="0"/>
                <w:color w:val="000000"/>
                <w:kern w:val="0"/>
                <w:sz w:val="40"/>
                <w:szCs w:val="40"/>
                <w:u w:val="none"/>
                <w:lang w:val="en-US" w:eastAsia="zh-CN" w:bidi="ar"/>
              </w:rPr>
              <w:t>支出总表（预算表3）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预算单位：通榆县工业和信息化局</w:t>
            </w:r>
          </w:p>
        </w:tc>
        <w:tc>
          <w:tcPr>
            <w:tcW w:w="0" w:type="auto"/>
            <w:gridSpan w:val="2"/>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r>
              <w:rPr>
                <w:rFonts w:hint="eastAsia" w:ascii="Arial" w:hAnsi="Arial" w:eastAsia="宋体" w:cs="Arial"/>
                <w:i w:val="0"/>
                <w:iCs w:val="0"/>
                <w:color w:val="000000"/>
                <w:kern w:val="0"/>
                <w:sz w:val="20"/>
                <w:szCs w:val="20"/>
                <w:u w:val="none"/>
                <w:lang w:val="en-US" w:eastAsia="zh-CN" w:bidi="ar"/>
              </w:rPr>
              <w:t>万</w:t>
            </w:r>
            <w:r>
              <w:rPr>
                <w:rFonts w:hint="default" w:ascii="Arial" w:hAnsi="Arial" w:eastAsia="宋体" w:cs="Arial"/>
                <w:i w:val="0"/>
                <w:iCs w:val="0"/>
                <w:color w:val="000000"/>
                <w:kern w:val="0"/>
                <w:sz w:val="20"/>
                <w:szCs w:val="20"/>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序号</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科目编码</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功能分类科目名称</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合计</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基本支出</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项目支出</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事业单位经营支出</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上缴上级支出</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合计</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198.83</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198.83</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一般公共服务支出</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173.07</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173.07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20113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商贸事务</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173.07</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173.07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2011301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行政运行</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173.07</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173.07</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208</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社会保障和就业支出</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20805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19</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2080505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12.80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12.80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2080506</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6.40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6.40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卫生健康支出</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6.56</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6.56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21011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行政事业单位医疗</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6.56</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6.56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2101101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行政单位医疗</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6.56</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6.56</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rPr>
      </w:pPr>
    </w:p>
    <w:tbl>
      <w:tblPr>
        <w:tblStyle w:val="9"/>
        <w:tblW w:w="879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25"/>
        <w:gridCol w:w="2475"/>
        <w:gridCol w:w="1275"/>
        <w:gridCol w:w="3255"/>
        <w:gridCol w:w="12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790"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40"/>
                <w:szCs w:val="40"/>
                <w:u w:val="none"/>
              </w:rPr>
            </w:pPr>
            <w:r>
              <w:rPr>
                <w:rFonts w:hint="eastAsia" w:ascii="黑体" w:hAnsi="宋体" w:eastAsia="黑体" w:cs="黑体"/>
                <w:i w:val="0"/>
                <w:iCs w:val="0"/>
                <w:color w:val="000000"/>
                <w:kern w:val="0"/>
                <w:sz w:val="40"/>
                <w:szCs w:val="40"/>
                <w:u w:val="none"/>
                <w:lang w:val="en-US" w:eastAsia="zh-CN" w:bidi="ar"/>
              </w:rPr>
              <w:t>财政拨款收支总表(预算表4)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gridSpan w:val="3"/>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预算单位：通榆县工业和信息化局</w:t>
            </w:r>
          </w:p>
        </w:tc>
        <w:tc>
          <w:tcPr>
            <w:tcW w:w="0" w:type="auto"/>
            <w:gridSpan w:val="2"/>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r>
              <w:rPr>
                <w:rFonts w:hint="eastAsia" w:ascii="Arial" w:hAnsi="Arial" w:eastAsia="宋体" w:cs="Arial"/>
                <w:i w:val="0"/>
                <w:iCs w:val="0"/>
                <w:color w:val="000000"/>
                <w:kern w:val="0"/>
                <w:sz w:val="20"/>
                <w:szCs w:val="20"/>
                <w:u w:val="none"/>
                <w:lang w:val="en-US" w:eastAsia="zh-CN" w:bidi="ar"/>
              </w:rPr>
              <w:t>万</w:t>
            </w:r>
            <w:r>
              <w:rPr>
                <w:rFonts w:hint="default" w:ascii="Arial" w:hAnsi="Arial" w:eastAsia="宋体" w:cs="Arial"/>
                <w:i w:val="0"/>
                <w:iCs w:val="0"/>
                <w:color w:val="000000"/>
                <w:kern w:val="0"/>
                <w:sz w:val="20"/>
                <w:szCs w:val="20"/>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序号</w:t>
            </w:r>
          </w:p>
        </w:tc>
        <w:tc>
          <w:tcPr>
            <w:tcW w:w="37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收                             入</w:t>
            </w:r>
          </w:p>
        </w:tc>
        <w:tc>
          <w:tcPr>
            <w:tcW w:w="45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b/>
                <w:bCs/>
                <w:i w:val="0"/>
                <w:iCs w:val="0"/>
                <w:color w:val="000000"/>
                <w:sz w:val="20"/>
                <w:szCs w:val="20"/>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项                   目</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预算数</w:t>
            </w: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项                目</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一、本年收入</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198.83</w:t>
            </w: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一、本年支出</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198.83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一般公共预算拨款</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198.83</w:t>
            </w: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一、一般公共服务支出</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173.07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政府性基金预算拨款</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二、外交支出</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国有资本经营预算拨款</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三、国防支出</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四、公共安全支出</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五、教育支出　　</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六、科学技术支出　</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七、文化旅游体育与传媒支出</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八、社会保障和就业支出　</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19.20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九、社会保险基金支出</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十、卫生健康支出</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6.56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十一、节能环保支出</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十二、城乡社区支出</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14</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十三、农林水支出</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十四、交通运输支出</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十五、资源勘探工业信息等支出</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17</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十六、商业服务业等支出</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18</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十七、金融支出</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19</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十八、援助其他地区支出</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十九、自然资源海洋气象等支出</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21</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二十、住房保障支出</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22</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二十一、粮油物资储备支出</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23</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二、上年结转</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二十二、国有资本经营预算支出</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24</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一般公共预算拨款</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二十三、灾害防治及应急管理支出</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政府性基金预算拨款</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二十四、其他支出</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26</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国有资本经营预算拨款</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二、结转下年支出</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27</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收 入 总 计</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198.83</w:t>
            </w: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支 出 总 计</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198.83</w:t>
            </w:r>
          </w:p>
        </w:tc>
      </w:tr>
    </w:tbl>
    <w:p>
      <w:pPr>
        <w:ind w:firstLine="640" w:firstLineChars="200"/>
        <w:rPr>
          <w:rFonts w:eastAsia="楷体"/>
        </w:rPr>
      </w:pPr>
    </w:p>
    <w:p>
      <w:pPr>
        <w:ind w:firstLine="640" w:firstLineChars="200"/>
        <w:rPr>
          <w:rFonts w:eastAsia="楷体"/>
        </w:rPr>
      </w:pPr>
    </w:p>
    <w:tbl>
      <w:tblPr>
        <w:tblStyle w:val="9"/>
        <w:tblW w:w="85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9"/>
        <w:gridCol w:w="995"/>
        <w:gridCol w:w="1479"/>
        <w:gridCol w:w="1384"/>
        <w:gridCol w:w="1384"/>
        <w:gridCol w:w="1194"/>
        <w:gridCol w:w="1032"/>
        <w:gridCol w:w="6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520" w:type="dxa"/>
            <w:gridSpan w:val="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40"/>
                <w:szCs w:val="40"/>
                <w:u w:val="none"/>
              </w:rPr>
            </w:pPr>
            <w:r>
              <w:rPr>
                <w:rFonts w:hint="eastAsia" w:ascii="黑体" w:hAnsi="宋体" w:eastAsia="黑体" w:cs="黑体"/>
                <w:i w:val="0"/>
                <w:iCs w:val="0"/>
                <w:color w:val="000000"/>
                <w:kern w:val="0"/>
                <w:sz w:val="40"/>
                <w:szCs w:val="40"/>
                <w:u w:val="none"/>
                <w:lang w:val="en-US" w:eastAsia="zh-CN" w:bidi="ar"/>
              </w:rPr>
              <w:t>本年一般公共预算支出表（预算表5）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gridSpan w:val="6"/>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预算单位：通榆县工业和信息化局</w:t>
            </w:r>
          </w:p>
        </w:tc>
        <w:tc>
          <w:tcPr>
            <w:tcW w:w="0" w:type="auto"/>
            <w:gridSpan w:val="2"/>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r>
              <w:rPr>
                <w:rFonts w:hint="eastAsia" w:ascii="Arial" w:hAnsi="Arial" w:eastAsia="宋体" w:cs="Arial"/>
                <w:i w:val="0"/>
                <w:iCs w:val="0"/>
                <w:color w:val="000000"/>
                <w:kern w:val="0"/>
                <w:sz w:val="20"/>
                <w:szCs w:val="20"/>
                <w:u w:val="none"/>
                <w:lang w:val="en-US" w:eastAsia="zh-CN" w:bidi="ar"/>
              </w:rPr>
              <w:t>万</w:t>
            </w:r>
            <w:r>
              <w:rPr>
                <w:rFonts w:hint="default" w:ascii="Arial" w:hAnsi="Arial" w:eastAsia="宋体" w:cs="Arial"/>
                <w:i w:val="0"/>
                <w:iCs w:val="0"/>
                <w:color w:val="000000"/>
                <w:kern w:val="0"/>
                <w:sz w:val="20"/>
                <w:szCs w:val="20"/>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序号</w:t>
            </w:r>
          </w:p>
        </w:tc>
        <w:tc>
          <w:tcPr>
            <w:tcW w:w="9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科目编码</w:t>
            </w:r>
          </w:p>
        </w:tc>
        <w:tc>
          <w:tcPr>
            <w:tcW w:w="14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功能分类科目名称</w:t>
            </w:r>
          </w:p>
        </w:tc>
        <w:tc>
          <w:tcPr>
            <w:tcW w:w="13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合计</w:t>
            </w:r>
          </w:p>
        </w:tc>
        <w:tc>
          <w:tcPr>
            <w:tcW w:w="36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基本支出</w:t>
            </w:r>
          </w:p>
        </w:tc>
        <w:tc>
          <w:tcPr>
            <w:tcW w:w="6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b/>
                <w:bCs/>
                <w:i w:val="0"/>
                <w:iCs w:val="0"/>
                <w:color w:val="000000"/>
                <w:sz w:val="20"/>
                <w:szCs w:val="20"/>
                <w:u w:val="none"/>
              </w:rPr>
            </w:pPr>
          </w:p>
        </w:tc>
        <w:tc>
          <w:tcPr>
            <w:tcW w:w="9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b/>
                <w:bCs/>
                <w:i w:val="0"/>
                <w:iCs w:val="0"/>
                <w:color w:val="000000"/>
                <w:sz w:val="20"/>
                <w:szCs w:val="20"/>
                <w:u w:val="none"/>
              </w:rPr>
            </w:pPr>
          </w:p>
        </w:tc>
        <w:tc>
          <w:tcPr>
            <w:tcW w:w="14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b/>
                <w:bCs/>
                <w:i w:val="0"/>
                <w:iCs w:val="0"/>
                <w:color w:val="000000"/>
                <w:sz w:val="20"/>
                <w:szCs w:val="20"/>
                <w:u w:val="none"/>
              </w:rPr>
            </w:pPr>
          </w:p>
        </w:tc>
        <w:tc>
          <w:tcPr>
            <w:tcW w:w="13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b/>
                <w:bCs/>
                <w:i w:val="0"/>
                <w:iCs w:val="0"/>
                <w:color w:val="000000"/>
                <w:sz w:val="20"/>
                <w:szCs w:val="20"/>
                <w:u w:val="none"/>
              </w:rPr>
            </w:pP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小计</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人员经费</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公用经费</w:t>
            </w:r>
          </w:p>
        </w:tc>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Arial" w:hAnsi="Arial" w:cs="Arial"/>
                <w:i w:val="0"/>
                <w:iCs w:val="0"/>
                <w:color w:val="000000"/>
                <w:sz w:val="20"/>
                <w:szCs w:val="20"/>
                <w:u w:val="none"/>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合计</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198.83</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198.83</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188.03</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10.80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201</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一般公共服务支出</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73.07</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73.07</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162.27</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10.80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trPr>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20113</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商贸事务</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73.07</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73.07</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62.27</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10.80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2011301</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行政运行</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73.07</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73.07</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62.27</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10.80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208</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社会保障和就业支出</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19</w:t>
            </w:r>
            <w:r>
              <w:rPr>
                <w:rFonts w:hint="eastAsia" w:ascii="Arial" w:hAnsi="Arial" w:eastAsia="宋体" w:cs="Arial"/>
                <w:i w:val="0"/>
                <w:iCs w:val="0"/>
                <w:color w:val="000000"/>
                <w:kern w:val="0"/>
                <w:sz w:val="20"/>
                <w:szCs w:val="20"/>
                <w:u w:val="none"/>
                <w:lang w:val="en-US" w:eastAsia="zh-CN" w:bidi="ar"/>
              </w:rPr>
              <w:t>.20</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9.20</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19</w:t>
            </w:r>
            <w:r>
              <w:rPr>
                <w:rFonts w:hint="eastAsia" w:ascii="Arial" w:hAnsi="Arial" w:eastAsia="宋体" w:cs="Arial"/>
                <w:i w:val="0"/>
                <w:iCs w:val="0"/>
                <w:color w:val="000000"/>
                <w:kern w:val="0"/>
                <w:sz w:val="20"/>
                <w:szCs w:val="20"/>
                <w:u w:val="none"/>
                <w:lang w:val="en-US" w:eastAsia="zh-CN" w:bidi="ar"/>
              </w:rPr>
              <w:t>.20</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20805</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行政事业单位养老支出</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19</w:t>
            </w:r>
            <w:r>
              <w:rPr>
                <w:rFonts w:hint="eastAsia" w:ascii="Arial" w:hAnsi="Arial" w:eastAsia="宋体" w:cs="Arial"/>
                <w:i w:val="0"/>
                <w:iCs w:val="0"/>
                <w:color w:val="000000"/>
                <w:kern w:val="0"/>
                <w:sz w:val="20"/>
                <w:szCs w:val="20"/>
                <w:u w:val="none"/>
                <w:lang w:val="en-US" w:eastAsia="zh-CN" w:bidi="ar"/>
              </w:rPr>
              <w:t>.20</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19</w:t>
            </w:r>
            <w:r>
              <w:rPr>
                <w:rFonts w:hint="eastAsia" w:ascii="Arial" w:hAnsi="Arial" w:eastAsia="宋体" w:cs="Arial"/>
                <w:i w:val="0"/>
                <w:iCs w:val="0"/>
                <w:color w:val="000000"/>
                <w:kern w:val="0"/>
                <w:sz w:val="20"/>
                <w:szCs w:val="20"/>
                <w:u w:val="none"/>
                <w:lang w:val="en-US" w:eastAsia="zh-CN" w:bidi="ar"/>
              </w:rPr>
              <w:t>.20</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19</w:t>
            </w:r>
            <w:r>
              <w:rPr>
                <w:rFonts w:hint="eastAsia" w:ascii="Arial" w:hAnsi="Arial" w:eastAsia="宋体" w:cs="Arial"/>
                <w:i w:val="0"/>
                <w:iCs w:val="0"/>
                <w:color w:val="000000"/>
                <w:kern w:val="0"/>
                <w:sz w:val="20"/>
                <w:szCs w:val="20"/>
                <w:u w:val="none"/>
                <w:lang w:val="en-US" w:eastAsia="zh-CN" w:bidi="ar"/>
              </w:rPr>
              <w:t>.20</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2080505</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机关事业单位基本养老保险缴费支出</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12</w:t>
            </w:r>
            <w:r>
              <w:rPr>
                <w:rFonts w:hint="eastAsia" w:ascii="Arial" w:hAnsi="Arial" w:eastAsia="宋体" w:cs="Arial"/>
                <w:i w:val="0"/>
                <w:iCs w:val="0"/>
                <w:color w:val="000000"/>
                <w:kern w:val="0"/>
                <w:sz w:val="20"/>
                <w:szCs w:val="20"/>
                <w:u w:val="none"/>
                <w:lang w:val="en-US" w:eastAsia="zh-CN" w:bidi="ar"/>
              </w:rPr>
              <w:t>.80</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12</w:t>
            </w:r>
            <w:r>
              <w:rPr>
                <w:rFonts w:hint="eastAsia" w:ascii="Arial" w:hAnsi="Arial" w:eastAsia="宋体" w:cs="Arial"/>
                <w:i w:val="0"/>
                <w:iCs w:val="0"/>
                <w:color w:val="000000"/>
                <w:kern w:val="0"/>
                <w:sz w:val="20"/>
                <w:szCs w:val="20"/>
                <w:u w:val="none"/>
                <w:lang w:val="en-US" w:eastAsia="zh-CN" w:bidi="ar"/>
              </w:rPr>
              <w:t>.80</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12</w:t>
            </w:r>
            <w:r>
              <w:rPr>
                <w:rFonts w:hint="eastAsia" w:ascii="Arial" w:hAnsi="Arial" w:eastAsia="宋体" w:cs="Arial"/>
                <w:i w:val="0"/>
                <w:iCs w:val="0"/>
                <w:color w:val="000000"/>
                <w:kern w:val="0"/>
                <w:sz w:val="20"/>
                <w:szCs w:val="20"/>
                <w:u w:val="none"/>
                <w:lang w:val="en-US" w:eastAsia="zh-CN" w:bidi="ar"/>
              </w:rPr>
              <w:t>.80</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2080506</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机关事业单位职业年金缴费支出</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.40</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.40</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.40</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210</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卫生健康支出</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.56</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.56</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.56</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21011</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行政事业单位医疗</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.56</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.56</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.56</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2101101</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行政单位医疗</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.56</w:t>
            </w:r>
          </w:p>
        </w:tc>
        <w:tc>
          <w:tcPr>
            <w:tcW w:w="1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.56</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.56</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bl>
    <w:p>
      <w:pPr>
        <w:ind w:firstLine="480" w:firstLineChars="200"/>
        <w:rPr>
          <w:rFonts w:hAnsi="楷体" w:eastAsia="楷体"/>
          <w:sz w:val="24"/>
          <w:szCs w:val="24"/>
        </w:rPr>
      </w:pPr>
    </w:p>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hAnsi="楷体" w:eastAsia="楷体"/>
        </w:rPr>
      </w:pPr>
      <w:r>
        <w:rPr>
          <w:rFonts w:hAnsi="楷体" w:eastAsia="楷体"/>
        </w:rPr>
        <w:br w:type="page"/>
      </w:r>
    </w:p>
    <w:tbl>
      <w:tblPr>
        <w:tblStyle w:val="9"/>
        <w:tblW w:w="826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0"/>
        <w:gridCol w:w="810"/>
        <w:gridCol w:w="2250"/>
        <w:gridCol w:w="1545"/>
        <w:gridCol w:w="1545"/>
        <w:gridCol w:w="15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3" w:hRule="atLeast"/>
        </w:trPr>
        <w:tc>
          <w:tcPr>
            <w:tcW w:w="8265" w:type="dxa"/>
            <w:gridSpan w:val="6"/>
            <w:tcBorders>
              <w:top w:val="single" w:color="D6AFAC" w:sz="0" w:space="0"/>
              <w:left w:val="single" w:color="D6AFAC" w:sz="0" w:space="0"/>
              <w:bottom w:val="single" w:color="D6AFAC" w:sz="0" w:space="0"/>
              <w:right w:val="single" w:color="D6AFAC" w:sz="0" w:space="0"/>
            </w:tcBorders>
            <w:shd w:val="clear" w:color="auto" w:fill="EEE1DE"/>
            <w:vAlign w:val="center"/>
          </w:tcPr>
          <w:p>
            <w:pPr>
              <w:keepNext w:val="0"/>
              <w:keepLines w:val="0"/>
              <w:widowControl/>
              <w:suppressLineNumbers w:val="0"/>
              <w:jc w:val="center"/>
              <w:textAlignment w:val="center"/>
              <w:rPr>
                <w:rFonts w:ascii="黑体" w:hAnsi="宋体" w:eastAsia="黑体" w:cs="黑体"/>
                <w:i w:val="0"/>
                <w:iCs w:val="0"/>
                <w:color w:val="000000"/>
                <w:sz w:val="40"/>
                <w:szCs w:val="40"/>
                <w:u w:val="none"/>
              </w:rPr>
            </w:pPr>
            <w:r>
              <w:rPr>
                <w:rFonts w:hint="eastAsia" w:ascii="黑体" w:hAnsi="宋体" w:eastAsia="黑体" w:cs="黑体"/>
                <w:i w:val="0"/>
                <w:iCs w:val="0"/>
                <w:color w:val="000000"/>
                <w:kern w:val="0"/>
                <w:sz w:val="40"/>
                <w:szCs w:val="40"/>
                <w:u w:val="none"/>
                <w:lang w:val="en-US" w:eastAsia="zh-CN" w:bidi="ar"/>
              </w:rPr>
              <w:t>本年一般公共预算基本支出表(预算表6)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0" w:type="auto"/>
            <w:gridSpan w:val="4"/>
            <w:tcBorders>
              <w:top w:val="single" w:color="D6AFAC" w:sz="0" w:space="0"/>
              <w:left w:val="single" w:color="D6AFAC" w:sz="0" w:space="0"/>
              <w:bottom w:val="single" w:color="D6AFAC" w:sz="0" w:space="0"/>
              <w:right w:val="single" w:color="D6AFAC" w:sz="0" w:space="0"/>
            </w:tcBorders>
            <w:shd w:val="clear" w:color="auto" w:fill="FEFEFE"/>
            <w:noWrap/>
            <w:vAlign w:val="bottom"/>
          </w:tcPr>
          <w:p>
            <w:pPr>
              <w:keepNext w:val="0"/>
              <w:keepLines w:val="0"/>
              <w:widowControl/>
              <w:suppressLineNumbers w:val="0"/>
              <w:jc w:val="left"/>
              <w:textAlignment w:val="bottom"/>
              <w:rPr>
                <w:rFonts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预算单位：通榆县工业和信息化局</w:t>
            </w:r>
          </w:p>
        </w:tc>
        <w:tc>
          <w:tcPr>
            <w:tcW w:w="0" w:type="auto"/>
            <w:gridSpan w:val="2"/>
            <w:tcBorders>
              <w:top w:val="single" w:color="D6AFAC" w:sz="0" w:space="0"/>
              <w:left w:val="single" w:color="D6AFAC" w:sz="0" w:space="0"/>
              <w:bottom w:val="single" w:color="D6AFAC" w:sz="0" w:space="0"/>
              <w:right w:val="single" w:color="D6AFAC" w:sz="0" w:space="0"/>
            </w:tcBorders>
            <w:shd w:val="clear" w:color="auto" w:fill="F0F0F0"/>
            <w:noWrap/>
            <w:vAlign w:val="bottom"/>
          </w:tcPr>
          <w:p>
            <w:pPr>
              <w:keepNext w:val="0"/>
              <w:keepLines w:val="0"/>
              <w:widowControl/>
              <w:suppressLineNumbers w:val="0"/>
              <w:jc w:val="right"/>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r>
              <w:rPr>
                <w:rFonts w:hint="eastAsia" w:ascii="Arial" w:hAnsi="Arial" w:eastAsia="宋体" w:cs="Arial"/>
                <w:i w:val="0"/>
                <w:iCs w:val="0"/>
                <w:color w:val="000000"/>
                <w:kern w:val="0"/>
                <w:sz w:val="20"/>
                <w:szCs w:val="20"/>
                <w:u w:val="none"/>
                <w:lang w:val="en-US" w:eastAsia="zh-CN" w:bidi="ar"/>
              </w:rPr>
              <w:t>万</w:t>
            </w:r>
            <w:r>
              <w:rPr>
                <w:rFonts w:hint="default" w:ascii="Arial" w:hAnsi="Arial" w:eastAsia="宋体" w:cs="Arial"/>
                <w:i w:val="0"/>
                <w:iCs w:val="0"/>
                <w:color w:val="000000"/>
                <w:kern w:val="0"/>
                <w:sz w:val="20"/>
                <w:szCs w:val="20"/>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57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810" w:type="dxa"/>
            <w:tcBorders>
              <w:top w:val="single" w:color="D6AFAC" w:sz="4" w:space="0"/>
              <w:left w:val="single" w:color="D6AFAC" w:sz="4" w:space="0"/>
              <w:bottom w:val="single" w:color="D6AFAC" w:sz="4" w:space="0"/>
              <w:right w:val="single" w:color="D6AFAC" w:sz="4" w:space="0"/>
            </w:tcBorders>
            <w:shd w:val="clear" w:color="auto" w:fill="F0F0F0"/>
            <w:vAlign w:val="center"/>
          </w:tcPr>
          <w:p>
            <w:pPr>
              <w:jc w:val="center"/>
              <w:rPr>
                <w:rFonts w:hint="default" w:ascii="Arial" w:hAnsi="Arial" w:cs="Arial"/>
                <w:b/>
                <w:bCs/>
                <w:i w:val="0"/>
                <w:iCs w:val="0"/>
                <w:color w:val="000000"/>
                <w:sz w:val="20"/>
                <w:szCs w:val="20"/>
                <w:u w:val="none"/>
              </w:rPr>
            </w:pPr>
          </w:p>
        </w:tc>
        <w:tc>
          <w:tcPr>
            <w:tcW w:w="2250" w:type="dxa"/>
            <w:tcBorders>
              <w:top w:val="single" w:color="D6AFAC" w:sz="4" w:space="0"/>
              <w:left w:val="single" w:color="D6AFAC" w:sz="4" w:space="0"/>
              <w:bottom w:val="single" w:color="D6AFAC" w:sz="4" w:space="0"/>
              <w:right w:val="single" w:color="D6AFAC" w:sz="4" w:space="0"/>
            </w:tcBorders>
            <w:shd w:val="clear" w:color="auto" w:fill="FEFEFE"/>
            <w:vAlign w:val="center"/>
          </w:tcPr>
          <w:p>
            <w:pPr>
              <w:jc w:val="center"/>
              <w:rPr>
                <w:rFonts w:hint="default" w:ascii="Arial" w:hAnsi="Arial" w:cs="Arial"/>
                <w:b/>
                <w:bCs/>
                <w:i w:val="0"/>
                <w:iCs w:val="0"/>
                <w:color w:val="000000"/>
                <w:sz w:val="20"/>
                <w:szCs w:val="20"/>
                <w:u w:val="none"/>
              </w:rPr>
            </w:pP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jc w:val="center"/>
              <w:rPr>
                <w:rFonts w:hint="default" w:ascii="Arial" w:hAnsi="Arial" w:cs="Arial"/>
                <w:b/>
                <w:bCs/>
                <w:i w:val="0"/>
                <w:iCs w:val="0"/>
                <w:color w:val="000000"/>
                <w:sz w:val="20"/>
                <w:szCs w:val="20"/>
                <w:u w:val="none"/>
              </w:rPr>
            </w:pPr>
          </w:p>
        </w:tc>
        <w:tc>
          <w:tcPr>
            <w:tcW w:w="1545" w:type="dxa"/>
            <w:tcBorders>
              <w:top w:val="single" w:color="D6AFAC" w:sz="4" w:space="0"/>
              <w:left w:val="single" w:color="D6AFAC" w:sz="4" w:space="0"/>
              <w:bottom w:val="single" w:color="D6AFAC" w:sz="4" w:space="0"/>
              <w:right w:val="single" w:color="D6AFAC" w:sz="4" w:space="0"/>
            </w:tcBorders>
            <w:shd w:val="clear" w:color="auto" w:fill="FEFEFE"/>
            <w:vAlign w:val="center"/>
          </w:tcPr>
          <w:p>
            <w:pPr>
              <w:jc w:val="center"/>
              <w:rPr>
                <w:rFonts w:hint="default" w:ascii="Arial" w:hAnsi="Arial" w:cs="Arial"/>
                <w:b/>
                <w:bCs/>
                <w:i w:val="0"/>
                <w:iCs w:val="0"/>
                <w:color w:val="000000"/>
                <w:sz w:val="20"/>
                <w:szCs w:val="20"/>
                <w:u w:val="none"/>
              </w:rPr>
            </w:pP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jc w:val="center"/>
              <w:rPr>
                <w:rFonts w:hint="default" w:ascii="Arial" w:hAnsi="Arial" w:cs="Arial"/>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7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810" w:type="dxa"/>
            <w:tcBorders>
              <w:top w:val="single" w:color="D6AFAC" w:sz="4" w:space="0"/>
              <w:left w:val="single" w:color="D6AFAC" w:sz="4" w:space="0"/>
              <w:bottom w:val="single" w:color="D6AFAC" w:sz="4" w:space="0"/>
              <w:right w:val="single" w:color="D6AFAC" w:sz="4" w:space="0"/>
            </w:tcBorders>
            <w:shd w:val="clear" w:color="auto" w:fill="F0F0F0"/>
            <w:vAlign w:val="center"/>
          </w:tcPr>
          <w:p>
            <w:pPr>
              <w:rPr>
                <w:rFonts w:hint="default" w:ascii="Arial" w:hAnsi="Arial" w:cs="Arial"/>
                <w:i w:val="0"/>
                <w:iCs w:val="0"/>
                <w:color w:val="000000"/>
                <w:sz w:val="20"/>
                <w:szCs w:val="20"/>
                <w:u w:val="none"/>
              </w:rPr>
            </w:pPr>
          </w:p>
        </w:tc>
        <w:tc>
          <w:tcPr>
            <w:tcW w:w="225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合计</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198.83</w:t>
            </w:r>
          </w:p>
        </w:tc>
        <w:tc>
          <w:tcPr>
            <w:tcW w:w="1545"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188.03</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10.80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7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810"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301</w:t>
            </w:r>
          </w:p>
        </w:tc>
        <w:tc>
          <w:tcPr>
            <w:tcW w:w="225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工资福利支出</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35.20</w:t>
            </w:r>
          </w:p>
        </w:tc>
        <w:tc>
          <w:tcPr>
            <w:tcW w:w="1545"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35.20</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7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810"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30101</w:t>
            </w:r>
          </w:p>
        </w:tc>
        <w:tc>
          <w:tcPr>
            <w:tcW w:w="225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基本工资</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48</w:t>
            </w:r>
            <w:r>
              <w:rPr>
                <w:rFonts w:hint="eastAsia" w:ascii="Arial" w:hAnsi="Arial" w:eastAsia="宋体" w:cs="Arial"/>
                <w:i w:val="0"/>
                <w:iCs w:val="0"/>
                <w:color w:val="000000"/>
                <w:kern w:val="0"/>
                <w:sz w:val="20"/>
                <w:szCs w:val="20"/>
                <w:u w:val="none"/>
                <w:lang w:val="en-US" w:eastAsia="zh-CN" w:bidi="ar"/>
              </w:rPr>
              <w:t>.76</w:t>
            </w:r>
          </w:p>
        </w:tc>
        <w:tc>
          <w:tcPr>
            <w:tcW w:w="1545"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48</w:t>
            </w:r>
            <w:r>
              <w:rPr>
                <w:rFonts w:hint="eastAsia" w:ascii="Arial" w:hAnsi="Arial" w:eastAsia="宋体" w:cs="Arial"/>
                <w:i w:val="0"/>
                <w:iCs w:val="0"/>
                <w:color w:val="000000"/>
                <w:kern w:val="0"/>
                <w:sz w:val="20"/>
                <w:szCs w:val="20"/>
                <w:u w:val="none"/>
                <w:lang w:val="en-US" w:eastAsia="zh-CN" w:bidi="ar"/>
              </w:rPr>
              <w:t>.76</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7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810"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30102</w:t>
            </w:r>
          </w:p>
        </w:tc>
        <w:tc>
          <w:tcPr>
            <w:tcW w:w="225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津贴补贴</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40</w:t>
            </w:r>
            <w:r>
              <w:rPr>
                <w:rFonts w:hint="eastAsia" w:ascii="Arial" w:hAnsi="Arial" w:eastAsia="宋体" w:cs="Arial"/>
                <w:i w:val="0"/>
                <w:iCs w:val="0"/>
                <w:color w:val="000000"/>
                <w:kern w:val="0"/>
                <w:sz w:val="20"/>
                <w:szCs w:val="20"/>
                <w:u w:val="none"/>
                <w:lang w:val="en-US" w:eastAsia="zh-CN" w:bidi="ar"/>
              </w:rPr>
              <w:t>.60</w:t>
            </w:r>
          </w:p>
        </w:tc>
        <w:tc>
          <w:tcPr>
            <w:tcW w:w="1545"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40</w:t>
            </w:r>
            <w:r>
              <w:rPr>
                <w:rFonts w:hint="eastAsia" w:ascii="Arial" w:hAnsi="Arial" w:eastAsia="宋体" w:cs="Arial"/>
                <w:i w:val="0"/>
                <w:iCs w:val="0"/>
                <w:color w:val="000000"/>
                <w:kern w:val="0"/>
                <w:sz w:val="20"/>
                <w:szCs w:val="20"/>
                <w:u w:val="none"/>
                <w:lang w:val="en-US" w:eastAsia="zh-CN" w:bidi="ar"/>
              </w:rPr>
              <w:t>.60</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7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810"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30103</w:t>
            </w:r>
          </w:p>
        </w:tc>
        <w:tc>
          <w:tcPr>
            <w:tcW w:w="225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奖金</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.06</w:t>
            </w:r>
          </w:p>
        </w:tc>
        <w:tc>
          <w:tcPr>
            <w:tcW w:w="1545"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.06</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7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810"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30108</w:t>
            </w:r>
          </w:p>
        </w:tc>
        <w:tc>
          <w:tcPr>
            <w:tcW w:w="225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机关事业单位基本养老保险缴费</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12</w:t>
            </w:r>
            <w:r>
              <w:rPr>
                <w:rFonts w:hint="eastAsia" w:ascii="Arial" w:hAnsi="Arial" w:eastAsia="宋体" w:cs="Arial"/>
                <w:i w:val="0"/>
                <w:iCs w:val="0"/>
                <w:color w:val="000000"/>
                <w:kern w:val="0"/>
                <w:sz w:val="20"/>
                <w:szCs w:val="20"/>
                <w:u w:val="none"/>
                <w:lang w:val="en-US" w:eastAsia="zh-CN" w:bidi="ar"/>
              </w:rPr>
              <w:t>.80</w:t>
            </w:r>
          </w:p>
        </w:tc>
        <w:tc>
          <w:tcPr>
            <w:tcW w:w="1545"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w:t>
            </w:r>
            <w:r>
              <w:rPr>
                <w:rFonts w:hint="eastAsia" w:ascii="Arial" w:hAnsi="Arial" w:eastAsia="宋体" w:cs="Arial"/>
                <w:i w:val="0"/>
                <w:iCs w:val="0"/>
                <w:color w:val="000000"/>
                <w:kern w:val="0"/>
                <w:sz w:val="20"/>
                <w:szCs w:val="20"/>
                <w:u w:val="none"/>
                <w:lang w:val="en-US" w:eastAsia="zh-CN" w:bidi="ar"/>
              </w:rPr>
              <w:t>.80</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7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w:t>
            </w:r>
          </w:p>
        </w:tc>
        <w:tc>
          <w:tcPr>
            <w:tcW w:w="810"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30109</w:t>
            </w:r>
          </w:p>
        </w:tc>
        <w:tc>
          <w:tcPr>
            <w:tcW w:w="225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职业年金缴费</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.40</w:t>
            </w:r>
          </w:p>
        </w:tc>
        <w:tc>
          <w:tcPr>
            <w:tcW w:w="1545"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.40</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7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w:t>
            </w:r>
          </w:p>
        </w:tc>
        <w:tc>
          <w:tcPr>
            <w:tcW w:w="810"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30110</w:t>
            </w:r>
          </w:p>
        </w:tc>
        <w:tc>
          <w:tcPr>
            <w:tcW w:w="225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.12</w:t>
            </w:r>
          </w:p>
        </w:tc>
        <w:tc>
          <w:tcPr>
            <w:tcW w:w="1545"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r>
              <w:rPr>
                <w:rFonts w:hint="eastAsia" w:ascii="Arial" w:hAnsi="Arial" w:eastAsia="宋体" w:cs="Arial"/>
                <w:i w:val="0"/>
                <w:iCs w:val="0"/>
                <w:color w:val="000000"/>
                <w:kern w:val="0"/>
                <w:sz w:val="20"/>
                <w:szCs w:val="20"/>
                <w:u w:val="none"/>
                <w:lang w:val="en-US" w:eastAsia="zh-CN" w:bidi="ar"/>
              </w:rPr>
              <w:t>.12</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7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810"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30112</w:t>
            </w:r>
          </w:p>
        </w:tc>
        <w:tc>
          <w:tcPr>
            <w:tcW w:w="225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其他社会保障缴费</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.44</w:t>
            </w:r>
          </w:p>
        </w:tc>
        <w:tc>
          <w:tcPr>
            <w:tcW w:w="1545"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.44</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7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w:t>
            </w:r>
          </w:p>
        </w:tc>
        <w:tc>
          <w:tcPr>
            <w:tcW w:w="810"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30113</w:t>
            </w:r>
          </w:p>
        </w:tc>
        <w:tc>
          <w:tcPr>
            <w:tcW w:w="225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住房公积金</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9</w:t>
            </w:r>
            <w:r>
              <w:rPr>
                <w:rFonts w:hint="eastAsia" w:ascii="Arial" w:hAnsi="Arial" w:eastAsia="宋体" w:cs="Arial"/>
                <w:i w:val="0"/>
                <w:iCs w:val="0"/>
                <w:color w:val="000000"/>
                <w:kern w:val="0"/>
                <w:sz w:val="20"/>
                <w:szCs w:val="20"/>
                <w:u w:val="none"/>
                <w:lang w:val="en-US" w:eastAsia="zh-CN" w:bidi="ar"/>
              </w:rPr>
              <w:t>.60</w:t>
            </w:r>
          </w:p>
        </w:tc>
        <w:tc>
          <w:tcPr>
            <w:tcW w:w="1545"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r>
              <w:rPr>
                <w:rFonts w:hint="eastAsia" w:ascii="Arial" w:hAnsi="Arial" w:eastAsia="宋体" w:cs="Arial"/>
                <w:i w:val="0"/>
                <w:iCs w:val="0"/>
                <w:color w:val="000000"/>
                <w:kern w:val="0"/>
                <w:sz w:val="20"/>
                <w:szCs w:val="20"/>
                <w:u w:val="none"/>
                <w:lang w:val="en-US" w:eastAsia="zh-CN" w:bidi="ar"/>
              </w:rPr>
              <w:t>.60</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7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w:t>
            </w:r>
          </w:p>
        </w:tc>
        <w:tc>
          <w:tcPr>
            <w:tcW w:w="810"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30199</w:t>
            </w:r>
          </w:p>
        </w:tc>
        <w:tc>
          <w:tcPr>
            <w:tcW w:w="225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其他工资福利支出</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.42</w:t>
            </w:r>
          </w:p>
        </w:tc>
        <w:tc>
          <w:tcPr>
            <w:tcW w:w="1545"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.42</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57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w:t>
            </w:r>
          </w:p>
        </w:tc>
        <w:tc>
          <w:tcPr>
            <w:tcW w:w="810"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302</w:t>
            </w:r>
          </w:p>
        </w:tc>
        <w:tc>
          <w:tcPr>
            <w:tcW w:w="225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商品和服务支出</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10</w:t>
            </w:r>
            <w:r>
              <w:rPr>
                <w:rFonts w:hint="eastAsia" w:ascii="Arial" w:hAnsi="Arial" w:eastAsia="宋体" w:cs="Arial"/>
                <w:i w:val="0"/>
                <w:iCs w:val="0"/>
                <w:color w:val="000000"/>
                <w:kern w:val="0"/>
                <w:sz w:val="20"/>
                <w:szCs w:val="20"/>
                <w:u w:val="none"/>
                <w:lang w:val="en-US" w:eastAsia="zh-CN" w:bidi="ar"/>
              </w:rPr>
              <w:t>.80</w:t>
            </w:r>
          </w:p>
        </w:tc>
        <w:tc>
          <w:tcPr>
            <w:tcW w:w="1545"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w:t>
            </w:r>
            <w:r>
              <w:rPr>
                <w:rFonts w:hint="eastAsia" w:ascii="Arial" w:hAnsi="Arial" w:eastAsia="宋体" w:cs="Arial"/>
                <w:i w:val="0"/>
                <w:iCs w:val="0"/>
                <w:color w:val="000000"/>
                <w:kern w:val="0"/>
                <w:sz w:val="20"/>
                <w:szCs w:val="20"/>
                <w:u w:val="none"/>
                <w:lang w:val="en-US" w:eastAsia="zh-CN" w:bidi="ar"/>
              </w:rPr>
              <w:t>.80</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w:t>
            </w:r>
            <w:r>
              <w:rPr>
                <w:rFonts w:hint="eastAsia" w:ascii="Arial" w:hAnsi="Arial" w:eastAsia="宋体" w:cs="Arial"/>
                <w:i w:val="0"/>
                <w:iCs w:val="0"/>
                <w:color w:val="000000"/>
                <w:kern w:val="0"/>
                <w:sz w:val="20"/>
                <w:szCs w:val="20"/>
                <w:u w:val="none"/>
                <w:lang w:val="en-US" w:eastAsia="zh-CN" w:bidi="ar"/>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4" w:hRule="atLeast"/>
        </w:trPr>
        <w:tc>
          <w:tcPr>
            <w:tcW w:w="57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w:t>
            </w:r>
          </w:p>
        </w:tc>
        <w:tc>
          <w:tcPr>
            <w:tcW w:w="810"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30201</w:t>
            </w:r>
          </w:p>
        </w:tc>
        <w:tc>
          <w:tcPr>
            <w:tcW w:w="225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办公费</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.00</w:t>
            </w:r>
          </w:p>
        </w:tc>
        <w:tc>
          <w:tcPr>
            <w:tcW w:w="1545"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.00</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57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14</w:t>
            </w:r>
          </w:p>
        </w:tc>
        <w:tc>
          <w:tcPr>
            <w:tcW w:w="810"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30202</w:t>
            </w:r>
          </w:p>
        </w:tc>
        <w:tc>
          <w:tcPr>
            <w:tcW w:w="225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印刷费</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0.50</w:t>
            </w:r>
          </w:p>
        </w:tc>
        <w:tc>
          <w:tcPr>
            <w:tcW w:w="1545"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0.50</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0.50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57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w:t>
            </w:r>
          </w:p>
        </w:tc>
        <w:tc>
          <w:tcPr>
            <w:tcW w:w="810"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30204</w:t>
            </w:r>
          </w:p>
        </w:tc>
        <w:tc>
          <w:tcPr>
            <w:tcW w:w="225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手续费</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0.50</w:t>
            </w:r>
          </w:p>
        </w:tc>
        <w:tc>
          <w:tcPr>
            <w:tcW w:w="1545"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0.50</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0.50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4" w:hRule="atLeast"/>
        </w:trPr>
        <w:tc>
          <w:tcPr>
            <w:tcW w:w="57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810"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30205</w:t>
            </w:r>
          </w:p>
        </w:tc>
        <w:tc>
          <w:tcPr>
            <w:tcW w:w="225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水费</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0.50</w:t>
            </w:r>
          </w:p>
        </w:tc>
        <w:tc>
          <w:tcPr>
            <w:tcW w:w="1545"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0.50</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0.50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57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17</w:t>
            </w:r>
          </w:p>
        </w:tc>
        <w:tc>
          <w:tcPr>
            <w:tcW w:w="810"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30206</w:t>
            </w:r>
          </w:p>
        </w:tc>
        <w:tc>
          <w:tcPr>
            <w:tcW w:w="225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电费</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1.00</w:t>
            </w:r>
          </w:p>
        </w:tc>
        <w:tc>
          <w:tcPr>
            <w:tcW w:w="1545"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1.00</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57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18</w:t>
            </w:r>
          </w:p>
        </w:tc>
        <w:tc>
          <w:tcPr>
            <w:tcW w:w="810"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30207</w:t>
            </w:r>
          </w:p>
        </w:tc>
        <w:tc>
          <w:tcPr>
            <w:tcW w:w="225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邮电费</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1.00</w:t>
            </w:r>
          </w:p>
        </w:tc>
        <w:tc>
          <w:tcPr>
            <w:tcW w:w="1545"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1.00</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57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19</w:t>
            </w:r>
          </w:p>
        </w:tc>
        <w:tc>
          <w:tcPr>
            <w:tcW w:w="810"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30211</w:t>
            </w:r>
          </w:p>
        </w:tc>
        <w:tc>
          <w:tcPr>
            <w:tcW w:w="225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差旅费</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1.50</w:t>
            </w:r>
          </w:p>
        </w:tc>
        <w:tc>
          <w:tcPr>
            <w:tcW w:w="1545"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1.50</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 w:hRule="atLeast"/>
        </w:trPr>
        <w:tc>
          <w:tcPr>
            <w:tcW w:w="57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w:t>
            </w:r>
          </w:p>
        </w:tc>
        <w:tc>
          <w:tcPr>
            <w:tcW w:w="810"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30215</w:t>
            </w:r>
          </w:p>
        </w:tc>
        <w:tc>
          <w:tcPr>
            <w:tcW w:w="225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会议费</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0.50</w:t>
            </w:r>
          </w:p>
        </w:tc>
        <w:tc>
          <w:tcPr>
            <w:tcW w:w="1545"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0.50</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0.50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57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21</w:t>
            </w:r>
          </w:p>
        </w:tc>
        <w:tc>
          <w:tcPr>
            <w:tcW w:w="810"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30216</w:t>
            </w:r>
          </w:p>
        </w:tc>
        <w:tc>
          <w:tcPr>
            <w:tcW w:w="225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培训费</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0.50</w:t>
            </w:r>
          </w:p>
        </w:tc>
        <w:tc>
          <w:tcPr>
            <w:tcW w:w="1545"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0.50</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0.50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57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22</w:t>
            </w:r>
          </w:p>
        </w:tc>
        <w:tc>
          <w:tcPr>
            <w:tcW w:w="810"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30217</w:t>
            </w:r>
          </w:p>
        </w:tc>
        <w:tc>
          <w:tcPr>
            <w:tcW w:w="225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公务接待费</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1.30</w:t>
            </w:r>
          </w:p>
        </w:tc>
        <w:tc>
          <w:tcPr>
            <w:tcW w:w="1545"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1.30</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1.30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57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23</w:t>
            </w:r>
          </w:p>
        </w:tc>
        <w:tc>
          <w:tcPr>
            <w:tcW w:w="810"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30228</w:t>
            </w:r>
          </w:p>
        </w:tc>
        <w:tc>
          <w:tcPr>
            <w:tcW w:w="225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工会经费</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1.50</w:t>
            </w:r>
          </w:p>
        </w:tc>
        <w:tc>
          <w:tcPr>
            <w:tcW w:w="1545"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1.50</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7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24</w:t>
            </w:r>
          </w:p>
        </w:tc>
        <w:tc>
          <w:tcPr>
            <w:tcW w:w="810"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303</w:t>
            </w:r>
          </w:p>
        </w:tc>
        <w:tc>
          <w:tcPr>
            <w:tcW w:w="225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对个人和家庭的补助</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52.83</w:t>
            </w:r>
          </w:p>
        </w:tc>
        <w:tc>
          <w:tcPr>
            <w:tcW w:w="1545"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eastAsia" w:ascii="Arial" w:hAnsi="Arial" w:eastAsia="宋体" w:cs="Arial"/>
                <w:i w:val="0"/>
                <w:iCs w:val="0"/>
                <w:color w:val="000000"/>
                <w:kern w:val="0"/>
                <w:sz w:val="20"/>
                <w:szCs w:val="20"/>
                <w:u w:val="none"/>
                <w:lang w:val="en-US" w:eastAsia="zh-CN" w:bidi="ar"/>
              </w:rPr>
              <w:t>52.83</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4" w:hRule="atLeast"/>
        </w:trPr>
        <w:tc>
          <w:tcPr>
            <w:tcW w:w="57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810"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30302</w:t>
            </w:r>
          </w:p>
        </w:tc>
        <w:tc>
          <w:tcPr>
            <w:tcW w:w="2250"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lef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退休费</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default" w:ascii="Arial" w:hAnsi="Arial" w:eastAsia="宋体" w:cs="Arial"/>
                <w:i w:val="0"/>
                <w:iCs w:val="0"/>
                <w:color w:val="000000"/>
                <w:kern w:val="0"/>
                <w:sz w:val="20"/>
                <w:szCs w:val="20"/>
                <w:u w:val="none"/>
                <w:lang w:val="en-US" w:eastAsia="zh-CN" w:bidi="ar"/>
              </w:rPr>
              <w:t>52</w:t>
            </w:r>
            <w:r>
              <w:rPr>
                <w:rFonts w:hint="eastAsia" w:ascii="Arial" w:hAnsi="Arial" w:eastAsia="宋体" w:cs="Arial"/>
                <w:i w:val="0"/>
                <w:iCs w:val="0"/>
                <w:color w:val="000000"/>
                <w:kern w:val="0"/>
                <w:sz w:val="20"/>
                <w:szCs w:val="20"/>
                <w:u w:val="none"/>
                <w:lang w:val="en-US" w:eastAsia="zh-CN" w:bidi="ar"/>
              </w:rPr>
              <w:t>.83</w:t>
            </w:r>
          </w:p>
        </w:tc>
        <w:tc>
          <w:tcPr>
            <w:tcW w:w="1545" w:type="dxa"/>
            <w:tcBorders>
              <w:top w:val="single" w:color="D6AFAC" w:sz="4" w:space="0"/>
              <w:left w:val="single" w:color="D6AFAC" w:sz="4" w:space="0"/>
              <w:bottom w:val="single" w:color="D6AFAC" w:sz="4" w:space="0"/>
              <w:right w:val="single" w:color="D6AFAC" w:sz="4" w:space="0"/>
            </w:tcBorders>
            <w:shd w:val="clear" w:color="auto" w:fill="FEFEFE"/>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52</w:t>
            </w:r>
            <w:r>
              <w:rPr>
                <w:rFonts w:hint="eastAsia" w:ascii="Arial" w:hAnsi="Arial" w:eastAsia="宋体" w:cs="Arial"/>
                <w:i w:val="0"/>
                <w:iCs w:val="0"/>
                <w:color w:val="000000"/>
                <w:kern w:val="0"/>
                <w:sz w:val="20"/>
                <w:szCs w:val="20"/>
                <w:u w:val="none"/>
                <w:lang w:val="en-US" w:eastAsia="zh-CN" w:bidi="ar"/>
              </w:rPr>
              <w:t>.83</w:t>
            </w:r>
          </w:p>
        </w:tc>
        <w:tc>
          <w:tcPr>
            <w:tcW w:w="1545" w:type="dxa"/>
            <w:tcBorders>
              <w:top w:val="single" w:color="D6AFAC" w:sz="4" w:space="0"/>
              <w:left w:val="single" w:color="D6AFAC" w:sz="4" w:space="0"/>
              <w:bottom w:val="single" w:color="D6AFAC" w:sz="4" w:space="0"/>
              <w:right w:val="single" w:color="D6AFAC" w:sz="4" w:space="0"/>
            </w:tcBorders>
            <w:shd w:val="clear" w:color="auto" w:fill="F0F0F0"/>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r>
    </w:tbl>
    <w:p>
      <w:pP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hAnsi="楷体" w:eastAsia="楷体"/>
        </w:rPr>
      </w:pPr>
      <w:r>
        <w:rPr>
          <w:rFonts w:hAnsi="楷体" w:eastAsia="楷体"/>
        </w:rPr>
        <w:br w:type="page"/>
      </w:r>
    </w:p>
    <w:tbl>
      <w:tblPr>
        <w:tblStyle w:val="9"/>
        <w:tblW w:w="859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10"/>
        <w:gridCol w:w="1350"/>
        <w:gridCol w:w="1350"/>
        <w:gridCol w:w="975"/>
        <w:gridCol w:w="1575"/>
        <w:gridCol w:w="1575"/>
        <w:gridCol w:w="12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8595"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40"/>
                <w:szCs w:val="40"/>
                <w:u w:val="none"/>
              </w:rPr>
            </w:pPr>
            <w:r>
              <w:rPr>
                <w:rFonts w:hint="eastAsia" w:ascii="黑体" w:hAnsi="宋体" w:eastAsia="黑体" w:cs="黑体"/>
                <w:i w:val="0"/>
                <w:iCs w:val="0"/>
                <w:color w:val="000000"/>
                <w:kern w:val="0"/>
                <w:sz w:val="36"/>
                <w:szCs w:val="36"/>
                <w:u w:val="none"/>
                <w:lang w:val="en-US" w:eastAsia="zh-CN" w:bidi="ar"/>
              </w:rPr>
              <w:t>本年一般公共预算“三公”经费支出表(预算表7)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gridSpan w:val="5"/>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预算单位：通榆县工业和信息化局</w:t>
            </w:r>
          </w:p>
        </w:tc>
        <w:tc>
          <w:tcPr>
            <w:tcW w:w="0" w:type="auto"/>
            <w:gridSpan w:val="2"/>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r>
              <w:rPr>
                <w:rFonts w:hint="eastAsia" w:ascii="Arial" w:hAnsi="Arial" w:eastAsia="宋体" w:cs="Arial"/>
                <w:i w:val="0"/>
                <w:iCs w:val="0"/>
                <w:color w:val="000000"/>
                <w:kern w:val="0"/>
                <w:sz w:val="20"/>
                <w:szCs w:val="20"/>
                <w:u w:val="none"/>
                <w:lang w:val="en-US" w:eastAsia="zh-CN" w:bidi="ar"/>
              </w:rPr>
              <w:t>万</w:t>
            </w:r>
            <w:r>
              <w:rPr>
                <w:rFonts w:hint="default" w:ascii="Arial" w:hAnsi="Arial" w:eastAsia="宋体" w:cs="Arial"/>
                <w:i w:val="0"/>
                <w:iCs w:val="0"/>
                <w:color w:val="000000"/>
                <w:kern w:val="0"/>
                <w:sz w:val="20"/>
                <w:szCs w:val="20"/>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序号</w:t>
            </w: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“三公”经费合计</w:t>
            </w: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因公出国（境）费</w:t>
            </w:r>
          </w:p>
        </w:tc>
        <w:tc>
          <w:tcPr>
            <w:tcW w:w="41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公务用车购置及运行费</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b/>
                <w:bCs/>
                <w:i w:val="0"/>
                <w:iCs w:val="0"/>
                <w:color w:val="000000"/>
                <w:sz w:val="20"/>
                <w:szCs w:val="20"/>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b/>
                <w:bCs/>
                <w:i w:val="0"/>
                <w:iCs w:val="0"/>
                <w:color w:val="000000"/>
                <w:sz w:val="20"/>
                <w:szCs w:val="20"/>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b/>
                <w:bCs/>
                <w:i w:val="0"/>
                <w:iCs w:val="0"/>
                <w:color w:val="000000"/>
                <w:sz w:val="20"/>
                <w:szCs w:val="20"/>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小计</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公务用车购置费</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公务用车运行费</w:t>
            </w: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1.30</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0.00</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lang w:val="en-US"/>
              </w:rPr>
            </w:pPr>
            <w:r>
              <w:rPr>
                <w:rFonts w:hint="eastAsia" w:ascii="Arial" w:hAnsi="Arial" w:eastAsia="宋体" w:cs="Arial"/>
                <w:i w:val="0"/>
                <w:iCs w:val="0"/>
                <w:color w:val="000000"/>
                <w:kern w:val="0"/>
                <w:sz w:val="20"/>
                <w:szCs w:val="20"/>
                <w:u w:val="none"/>
                <w:lang w:val="en-US" w:eastAsia="zh-CN" w:bidi="ar"/>
              </w:rPr>
              <w:t>1.30</w:t>
            </w:r>
          </w:p>
        </w:tc>
      </w:tr>
    </w:tbl>
    <w:p>
      <w:pPr>
        <w:rPr>
          <w:rFonts w:hAnsi="楷体" w:eastAsia="楷体"/>
        </w:rPr>
      </w:pPr>
    </w:p>
    <w:tbl>
      <w:tblPr>
        <w:tblStyle w:val="9"/>
        <w:tblW w:w="9114" w:type="dxa"/>
        <w:jc w:val="center"/>
        <w:tblLayout w:type="fixed"/>
        <w:tblCellMar>
          <w:top w:w="0" w:type="dxa"/>
          <w:left w:w="108" w:type="dxa"/>
          <w:bottom w:w="0" w:type="dxa"/>
          <w:right w:w="108" w:type="dxa"/>
        </w:tblCellMar>
      </w:tblPr>
      <w:tblGrid>
        <w:gridCol w:w="9114"/>
      </w:tblGrid>
      <w:tr>
        <w:tblPrEx>
          <w:tblCellMar>
            <w:top w:w="0" w:type="dxa"/>
            <w:left w:w="108" w:type="dxa"/>
            <w:bottom w:w="0" w:type="dxa"/>
            <w:right w:w="108" w:type="dxa"/>
          </w:tblCellMar>
        </w:tblPrEx>
        <w:trPr>
          <w:trHeight w:val="1275" w:hRule="atLeast"/>
          <w:jc w:val="center"/>
        </w:trPr>
        <w:tc>
          <w:tcPr>
            <w:tcW w:w="9114" w:type="dxa"/>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2023</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2023</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9</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9</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45</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w:t>
            </w:r>
            <w:r>
              <w:rPr>
                <w:rFonts w:hint="eastAsia" w:ascii="宋体" w:hAnsi="宋体" w:eastAsia="宋体" w:cs="宋体"/>
                <w:color w:val="000000"/>
                <w:kern w:val="0"/>
                <w:sz w:val="20"/>
                <w:szCs w:val="20"/>
                <w:lang w:val="en-US" w:eastAsia="zh-CN"/>
              </w:rPr>
              <w:t>万</w:t>
            </w:r>
            <w:r>
              <w:rPr>
                <w:rFonts w:hint="eastAsia" w:ascii="宋体" w:hAnsi="宋体" w:eastAsia="宋体" w:cs="宋体"/>
                <w:color w:val="000000"/>
                <w:kern w:val="0"/>
                <w:sz w:val="20"/>
                <w:szCs w:val="20"/>
              </w:rPr>
              <w:t>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w:t>
            </w:r>
            <w:r>
              <w:rPr>
                <w:rFonts w:hint="eastAsia" w:ascii="宋体" w:hAnsi="宋体" w:eastAsia="宋体" w:cs="宋体"/>
                <w:color w:val="000000"/>
                <w:kern w:val="0"/>
                <w:sz w:val="20"/>
                <w:lang w:val="en-US" w:eastAsia="zh-CN"/>
              </w:rPr>
              <w:t>万</w:t>
            </w:r>
            <w:r>
              <w:rPr>
                <w:rFonts w:hint="eastAsia" w:ascii="宋体" w:hAnsi="宋体" w:eastAsia="宋体" w:cs="宋体"/>
                <w:color w:val="000000"/>
                <w:kern w:val="0"/>
                <w:sz w:val="20"/>
              </w:rPr>
              <w:t>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w:t>
            </w:r>
            <w:r>
              <w:rPr>
                <w:rFonts w:hint="eastAsia" w:ascii="宋体" w:hAnsi="宋体" w:eastAsia="宋体" w:cs="宋体"/>
                <w:color w:val="000000"/>
                <w:sz w:val="20"/>
                <w:szCs w:val="22"/>
                <w:lang w:val="en-US" w:eastAsia="zh-CN"/>
              </w:rPr>
              <w:t>万</w:t>
            </w:r>
            <w:r>
              <w:rPr>
                <w:rFonts w:hint="eastAsia" w:ascii="宋体" w:hAnsi="宋体" w:eastAsia="宋体" w:cs="宋体"/>
                <w:color w:val="000000"/>
                <w:sz w:val="20"/>
                <w:szCs w:val="2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2023</w:t>
      </w:r>
      <w:r>
        <w:rPr>
          <w:rFonts w:eastAsia="黑体"/>
          <w:szCs w:val="32"/>
        </w:rPr>
        <w:t>年收支预算总体情况</w:t>
      </w:r>
    </w:p>
    <w:p>
      <w:pPr>
        <w:ind w:firstLine="640" w:firstLineChars="200"/>
        <w:rPr>
          <w:rFonts w:hint="eastAsia" w:ascii="仿宋_GB2312" w:hAnsi="仿宋_GB2312" w:eastAsia="仿宋_GB2312" w:cs="仿宋_GB2312"/>
          <w:color w:val="auto"/>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2023</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198.83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198.83</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color w:val="auto"/>
          <w:szCs w:val="32"/>
          <w:lang w:val="en-US" w:eastAsia="zh-CN"/>
        </w:rPr>
        <w:t>2023</w:t>
      </w:r>
      <w:r>
        <w:rPr>
          <w:rFonts w:hint="eastAsia" w:ascii="仿宋_GB2312" w:hAnsi="仿宋_GB2312" w:eastAsia="仿宋_GB2312" w:cs="仿宋_GB2312"/>
          <w:color w:val="auto"/>
          <w:szCs w:val="32"/>
          <w:lang w:val="en-US" w:eastAsia="zh-CN"/>
        </w:rPr>
        <w:t>年当年预算</w:t>
      </w:r>
      <w:r>
        <w:rPr>
          <w:rFonts w:hint="eastAsia" w:ascii="仿宋_GB2312" w:hAnsi="仿宋_GB2312" w:eastAsia="仿宋_GB2312" w:cs="仿宋_GB2312"/>
          <w:color w:val="auto"/>
          <w:szCs w:val="32"/>
        </w:rPr>
        <w:t>比</w:t>
      </w:r>
      <w:r>
        <w:rPr>
          <w:rFonts w:hint="eastAsia" w:ascii="仿宋_GB2312" w:hAnsi="仿宋_GB2312" w:cs="仿宋_GB2312"/>
          <w:color w:val="auto"/>
          <w:szCs w:val="32"/>
          <w:lang w:eastAsia="zh-CN"/>
        </w:rPr>
        <w:t>2022</w:t>
      </w:r>
      <w:r>
        <w:rPr>
          <w:rFonts w:hint="eastAsia" w:ascii="仿宋_GB2312" w:hAnsi="仿宋_GB2312" w:eastAsia="仿宋_GB2312" w:cs="仿宋_GB2312"/>
          <w:color w:val="auto"/>
          <w:szCs w:val="32"/>
        </w:rPr>
        <w:t>年预算减少</w:t>
      </w:r>
      <w:r>
        <w:rPr>
          <w:rFonts w:hint="eastAsia" w:ascii="仿宋_GB2312" w:hAnsi="仿宋_GB2312" w:cs="仿宋_GB2312"/>
          <w:color w:val="auto"/>
          <w:szCs w:val="32"/>
          <w:lang w:val="en-US" w:eastAsia="zh-CN"/>
        </w:rPr>
        <w:t>1071.58</w:t>
      </w:r>
      <w:r>
        <w:rPr>
          <w:rFonts w:hint="eastAsia" w:ascii="仿宋_GB2312" w:hAnsi="仿宋_GB2312" w:eastAsia="仿宋_GB2312" w:cs="仿宋_GB2312"/>
          <w:color w:val="auto"/>
          <w:szCs w:val="32"/>
        </w:rPr>
        <w:t>万元，主要原因是</w:t>
      </w:r>
      <w:r>
        <w:rPr>
          <w:rFonts w:hint="eastAsia" w:ascii="仿宋_GB2312" w:hAnsi="仿宋_GB2312" w:cs="仿宋_GB2312"/>
          <w:color w:val="auto"/>
          <w:szCs w:val="32"/>
          <w:lang w:val="en-US" w:eastAsia="zh-CN"/>
        </w:rPr>
        <w:t>疫情项目结束，费用减少</w:t>
      </w:r>
      <w:r>
        <w:rPr>
          <w:rFonts w:hint="eastAsia" w:ascii="仿宋_GB2312" w:hAnsi="仿宋_GB2312" w:eastAsia="仿宋_GB2312" w:cs="仿宋_GB2312"/>
          <w:color w:val="auto"/>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2023</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2023</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198.83</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198.83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198.83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2023</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2023</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198.83</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198.83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2023</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2023</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198.83</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198.83</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173.07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19.2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6.56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2023</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2023</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198.83</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198.83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188.03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94.57</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10.8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5.43</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173.07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87.04</w:t>
      </w:r>
      <w:r>
        <w:rPr>
          <w:rFonts w:hint="eastAsia" w:ascii="仿宋_GB2312" w:hAnsi="仿宋_GB2312" w:eastAsia="仿宋_GB2312" w:cs="仿宋_GB2312"/>
          <w:szCs w:val="32"/>
        </w:rPr>
        <w:t>%，主要用于</w:t>
      </w:r>
      <w:r>
        <w:rPr>
          <w:rFonts w:hint="eastAsia"/>
          <w:szCs w:val="32"/>
          <w:lang w:eastAsia="zh-CN"/>
        </w:rPr>
        <w:t>支付人员经费和公用经费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19.2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9.66</w:t>
      </w:r>
      <w:r>
        <w:rPr>
          <w:rFonts w:hint="eastAsia" w:ascii="仿宋_GB2312" w:hAnsi="仿宋_GB2312" w:eastAsia="仿宋_GB2312" w:cs="仿宋_GB2312"/>
          <w:szCs w:val="32"/>
        </w:rPr>
        <w:t>%，主要用于机关事业单位基本养老保险缴费支出</w:t>
      </w:r>
      <w:r>
        <w:rPr>
          <w:rFonts w:hint="eastAsia" w:ascii="仿宋_GB2312" w:hAnsi="仿宋_GB2312" w:cs="仿宋_GB2312"/>
          <w:szCs w:val="32"/>
          <w:lang w:eastAsia="zh-CN"/>
        </w:rPr>
        <w:t>、职业年金缴费支出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无</w:t>
      </w:r>
      <w:r>
        <w:rPr>
          <w:rFonts w:hint="eastAsia" w:ascii="仿宋_GB2312" w:hAnsi="仿宋_GB2312" w:eastAsia="仿宋_GB2312" w:cs="仿宋_GB2312"/>
          <w:szCs w:val="32"/>
        </w:rPr>
        <w:t>。</w:t>
      </w:r>
    </w:p>
    <w:p>
      <w:pPr>
        <w:spacing w:line="520" w:lineRule="exact"/>
        <w:ind w:firstLine="200"/>
        <w:rPr>
          <w:rFonts w:hint="default" w:ascii="仿宋_GB2312" w:hAnsi="仿宋_GB2312" w:eastAsia="仿宋_GB2312" w:cs="仿宋_GB2312"/>
          <w:szCs w:val="32"/>
          <w:lang w:val="en-US" w:eastAsia="zh-CN"/>
        </w:rPr>
      </w:pPr>
      <w:r>
        <w:rPr>
          <w:rFonts w:hint="eastAsia" w:ascii="仿宋_GB2312" w:hAnsi="仿宋_GB2312" w:eastAsia="仿宋_GB2312" w:cs="仿宋_GB2312"/>
          <w:szCs w:val="32"/>
        </w:rPr>
        <w:t>卫生健康支出</w:t>
      </w:r>
      <w:r>
        <w:rPr>
          <w:rFonts w:hint="eastAsia" w:ascii="仿宋_GB2312" w:hAnsi="仿宋_GB2312" w:cs="仿宋_GB2312"/>
          <w:szCs w:val="32"/>
          <w:lang w:eastAsia="zh-CN"/>
        </w:rPr>
        <w:t>（</w:t>
      </w:r>
      <w:r>
        <w:rPr>
          <w:rFonts w:hint="eastAsia" w:ascii="仿宋_GB2312" w:hAnsi="仿宋_GB2312" w:cs="仿宋_GB2312"/>
          <w:szCs w:val="32"/>
          <w:lang w:val="en-US" w:eastAsia="zh-CN"/>
        </w:rPr>
        <w:t>类</w:t>
      </w:r>
      <w:r>
        <w:rPr>
          <w:rFonts w:hint="eastAsia" w:ascii="仿宋_GB2312" w:hAnsi="仿宋_GB2312" w:cs="仿宋_GB2312"/>
          <w:szCs w:val="32"/>
          <w:lang w:eastAsia="zh-CN"/>
        </w:rPr>
        <w:t>）</w:t>
      </w:r>
      <w:r>
        <w:rPr>
          <w:rFonts w:hint="eastAsia" w:ascii="仿宋_GB2312" w:hAnsi="仿宋_GB2312" w:cs="仿宋_GB2312"/>
          <w:szCs w:val="32"/>
          <w:lang w:val="en-US" w:eastAsia="zh-CN"/>
        </w:rPr>
        <w:t>支出6.56万元，占3.3%，主要用于行政事业单位医疗。</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2023</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2023</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198.83</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188.03</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10.8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2023</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2023</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1.3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1.3</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2023</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1.03</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2023</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无</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1.3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1.3</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2023</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1.03</w:t>
      </w:r>
      <w:r>
        <w:rPr>
          <w:rFonts w:hint="eastAsia" w:ascii="仿宋_GB2312" w:hAnsi="仿宋_GB2312" w:eastAsia="仿宋_GB2312" w:cs="仿宋_GB2312"/>
          <w:szCs w:val="32"/>
        </w:rPr>
        <w:t>万元，主要原因</w:t>
      </w:r>
      <w:r>
        <w:rPr>
          <w:rFonts w:hint="eastAsia" w:ascii="仿宋_GB2312" w:hAnsi="仿宋_GB2312" w:eastAsia="仿宋_GB2312" w:cs="仿宋_GB2312"/>
          <w:color w:val="auto"/>
          <w:szCs w:val="32"/>
        </w:rPr>
        <w:t>是</w:t>
      </w:r>
      <w:r>
        <w:rPr>
          <w:rFonts w:hint="eastAsia" w:ascii="仿宋_GB2312" w:hAnsi="仿宋_GB2312" w:cs="仿宋_GB2312"/>
          <w:color w:val="auto"/>
          <w:szCs w:val="32"/>
          <w:lang w:val="en-US" w:eastAsia="zh-CN"/>
        </w:rPr>
        <w:t>政府招商引资公务接待费用增加</w:t>
      </w:r>
      <w:bookmarkStart w:id="0" w:name="_GoBack"/>
      <w:bookmarkEnd w:id="0"/>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2023</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2023</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2023</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2023</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2023</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2023</w:t>
      </w:r>
      <w:r>
        <w:rPr>
          <w:rFonts w:hint="eastAsia" w:ascii="仿宋_GB2312" w:hAnsi="仿宋_GB2312" w:eastAsia="仿宋_GB2312" w:cs="仿宋_GB2312"/>
          <w:szCs w:val="32"/>
        </w:rPr>
        <w:t>年政府性基金预算支出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无</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无</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无</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无</w:t>
      </w:r>
      <w:r>
        <w:rPr>
          <w:rFonts w:hint="eastAsia" w:ascii="仿宋_GB2312" w:hAnsi="仿宋_GB2312" w:eastAsia="仿宋_GB2312" w:cs="仿宋_GB2312"/>
          <w:szCs w:val="32"/>
          <w:highlight w:val="none"/>
        </w:rPr>
        <w:t>。</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2023</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2023</w:t>
      </w:r>
      <w:r>
        <w:rPr>
          <w:rFonts w:hint="eastAsia" w:ascii="仿宋_GB2312" w:hAnsi="仿宋_GB2312" w:eastAsia="仿宋_GB2312" w:cs="仿宋_GB2312"/>
          <w:szCs w:val="32"/>
          <w:highlight w:val="none"/>
        </w:rPr>
        <w:t>年国有资本经营预算支出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万元，其中：基本支出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%；项目支出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无</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无</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无</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无</w:t>
      </w:r>
      <w:r>
        <w:rPr>
          <w:rFonts w:hint="eastAsia" w:ascii="仿宋_GB2312" w:hAnsi="仿宋_GB2312" w:eastAsia="仿宋_GB2312" w:cs="仿宋_GB2312"/>
          <w:szCs w:val="32"/>
          <w:highlight w:val="none"/>
        </w:rPr>
        <w:t>。</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2023</w:t>
      </w:r>
      <w:r>
        <w:rPr>
          <w:rFonts w:hint="eastAsia" w:ascii="仿宋_GB2312" w:hAnsi="仿宋_GB2312" w:eastAsia="仿宋_GB2312" w:cs="仿宋_GB2312"/>
          <w:szCs w:val="32"/>
        </w:rPr>
        <w:t>年部门本级、</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等</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家行政单位以及</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等</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家参公管理事业单位的机关运行经费财政拨款预算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万元，增长（下降）</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%，主要原因是</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2023</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2022</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2023</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2"/>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2023</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2023</w:t>
      </w:r>
      <w:r>
        <w:rPr>
          <w:rFonts w:hint="eastAsia" w:ascii="仿宋_GB2312" w:hAnsi="仿宋_GB2312" w:eastAsia="仿宋_GB2312" w:cs="仿宋_GB2312"/>
        </w:rPr>
        <w:t>年确定</w:t>
      </w:r>
      <w:r>
        <w:rPr>
          <w:rFonts w:hint="eastAsia" w:ascii="仿宋_GB2312" w:hAnsi="仿宋_GB2312" w:cs="仿宋_GB2312"/>
          <w:szCs w:val="32"/>
          <w:lang w:val="en-US" w:eastAsia="zh-CN"/>
        </w:rPr>
        <w:t>0</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lang w:val="en-US" w:eastAsia="zh-CN"/>
        </w:rPr>
        <w:t>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简体">
    <w:altName w:val="宋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8176C5"/>
    <w:multiLevelType w:val="singleLevel"/>
    <w:tmpl w:val="E58176C5"/>
    <w:lvl w:ilvl="0" w:tentative="0">
      <w:start w:val="2"/>
      <w:numFmt w:val="chineseCounting"/>
      <w:suff w:val="nothing"/>
      <w:lvlText w:val="（%1）"/>
      <w:lvlJc w:val="left"/>
      <w:rPr>
        <w:rFonts w:hint="eastAsia"/>
      </w:rPr>
    </w:lvl>
  </w:abstractNum>
  <w:abstractNum w:abstractNumId="1">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5YWZjNTY4MWIzOTQ4OWNjZWUxMWFlZGM1NGFjODE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C494E"/>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092820"/>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721348"/>
    <w:rsid w:val="14C12787"/>
    <w:rsid w:val="15593E10"/>
    <w:rsid w:val="159F7E25"/>
    <w:rsid w:val="15F848D0"/>
    <w:rsid w:val="160E1FA5"/>
    <w:rsid w:val="160F2600"/>
    <w:rsid w:val="17765BCA"/>
    <w:rsid w:val="17A027D8"/>
    <w:rsid w:val="1A817DF8"/>
    <w:rsid w:val="1AC63FC0"/>
    <w:rsid w:val="1ADC594E"/>
    <w:rsid w:val="1AEB5252"/>
    <w:rsid w:val="1C852172"/>
    <w:rsid w:val="1CA40C0C"/>
    <w:rsid w:val="1CFF4A32"/>
    <w:rsid w:val="1D833200"/>
    <w:rsid w:val="1E2D59A2"/>
    <w:rsid w:val="1E3A3FD0"/>
    <w:rsid w:val="1EB55C07"/>
    <w:rsid w:val="1F351A10"/>
    <w:rsid w:val="1FED47E9"/>
    <w:rsid w:val="206816AC"/>
    <w:rsid w:val="222E734F"/>
    <w:rsid w:val="22A4003E"/>
    <w:rsid w:val="22B3482A"/>
    <w:rsid w:val="23984063"/>
    <w:rsid w:val="23CE11F0"/>
    <w:rsid w:val="23EC61F6"/>
    <w:rsid w:val="244C543C"/>
    <w:rsid w:val="24624768"/>
    <w:rsid w:val="2539376C"/>
    <w:rsid w:val="254C6FAD"/>
    <w:rsid w:val="259B5BC5"/>
    <w:rsid w:val="25C7462E"/>
    <w:rsid w:val="25F62C4E"/>
    <w:rsid w:val="26643D6C"/>
    <w:rsid w:val="26FE109D"/>
    <w:rsid w:val="27073E1E"/>
    <w:rsid w:val="276C722D"/>
    <w:rsid w:val="27B04AB3"/>
    <w:rsid w:val="28A63332"/>
    <w:rsid w:val="29C45F24"/>
    <w:rsid w:val="2B2C33CC"/>
    <w:rsid w:val="2DF8796C"/>
    <w:rsid w:val="2EB22F18"/>
    <w:rsid w:val="2EE12108"/>
    <w:rsid w:val="2EED35E3"/>
    <w:rsid w:val="2F250383"/>
    <w:rsid w:val="2F63610B"/>
    <w:rsid w:val="300965A3"/>
    <w:rsid w:val="30730D6E"/>
    <w:rsid w:val="30B91A70"/>
    <w:rsid w:val="32CF2C5D"/>
    <w:rsid w:val="335402B5"/>
    <w:rsid w:val="339466B2"/>
    <w:rsid w:val="34555AF5"/>
    <w:rsid w:val="34E41C88"/>
    <w:rsid w:val="35616772"/>
    <w:rsid w:val="35EA1663"/>
    <w:rsid w:val="364C598E"/>
    <w:rsid w:val="36CC2B0F"/>
    <w:rsid w:val="371A614D"/>
    <w:rsid w:val="3838492F"/>
    <w:rsid w:val="387258D7"/>
    <w:rsid w:val="3887374F"/>
    <w:rsid w:val="3889375D"/>
    <w:rsid w:val="38AF6637"/>
    <w:rsid w:val="39041A07"/>
    <w:rsid w:val="39043B77"/>
    <w:rsid w:val="393F0DCD"/>
    <w:rsid w:val="39670895"/>
    <w:rsid w:val="3A657F9A"/>
    <w:rsid w:val="3A9113D4"/>
    <w:rsid w:val="3AC54F32"/>
    <w:rsid w:val="3B144A0A"/>
    <w:rsid w:val="3B1B2A0D"/>
    <w:rsid w:val="3B7C071F"/>
    <w:rsid w:val="3B863123"/>
    <w:rsid w:val="3BC92948"/>
    <w:rsid w:val="3BE370D4"/>
    <w:rsid w:val="3C29381E"/>
    <w:rsid w:val="3C711E1D"/>
    <w:rsid w:val="3C7F463D"/>
    <w:rsid w:val="3CAE3960"/>
    <w:rsid w:val="3D365BF6"/>
    <w:rsid w:val="3D4B1171"/>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1B54A8"/>
    <w:rsid w:val="4843587B"/>
    <w:rsid w:val="48674ED2"/>
    <w:rsid w:val="487708E6"/>
    <w:rsid w:val="49645F71"/>
    <w:rsid w:val="499F5C68"/>
    <w:rsid w:val="4AF16062"/>
    <w:rsid w:val="4B646DDD"/>
    <w:rsid w:val="4B7F44F8"/>
    <w:rsid w:val="4B8C3BDD"/>
    <w:rsid w:val="4BAC24C5"/>
    <w:rsid w:val="4BFA0656"/>
    <w:rsid w:val="4D730507"/>
    <w:rsid w:val="4D741DD3"/>
    <w:rsid w:val="4DC93207"/>
    <w:rsid w:val="4E2A22FD"/>
    <w:rsid w:val="4E8D5761"/>
    <w:rsid w:val="4EF54A85"/>
    <w:rsid w:val="4F6F75D9"/>
    <w:rsid w:val="501B3C66"/>
    <w:rsid w:val="504B40C5"/>
    <w:rsid w:val="5061094D"/>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165C69"/>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6F0419BD"/>
    <w:rsid w:val="714213DD"/>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32</Pages>
  <Words>10559</Words>
  <Characters>11879</Characters>
  <Lines>71</Lines>
  <Paragraphs>20</Paragraphs>
  <TotalTime>14</TotalTime>
  <ScaleCrop>false</ScaleCrop>
  <LinksUpToDate>false</LinksUpToDate>
  <CharactersWithSpaces>12335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通榆县疾病预防控制中心</cp:lastModifiedBy>
  <cp:lastPrinted>2022-02-21T08:08:00Z</cp:lastPrinted>
  <dcterms:modified xsi:type="dcterms:W3CDTF">2023-07-11T06:34:06Z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