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2C45748D">
      <w:pPr>
        <w:ind w:firstLine="480" w:firstLineChars="200"/>
        <w:rPr>
          <w:rFonts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为全面反映政府信息公开工作情况、加强政府信息管理、展现政府施政过程及结果，根据《中华人民共和国政府信息公开条例》规定，现公布</w:t>
      </w:r>
      <w:r>
        <w:rPr>
          <w:rFonts w:hint="eastAsia" w:ascii="宋体" w:hAnsi="宋体" w:eastAsia="宋体" w:cs="宋体"/>
          <w:i w:val="0"/>
          <w:iCs w:val="0"/>
          <w:caps w:val="0"/>
          <w:color w:val="000000"/>
          <w:spacing w:val="0"/>
          <w:sz w:val="24"/>
          <w:szCs w:val="24"/>
          <w:bdr w:val="none" w:color="auto" w:sz="0" w:space="0"/>
          <w:shd w:val="clear" w:fill="FFFFFF"/>
        </w:rPr>
        <w:t>通榆县边昭镇202</w:t>
      </w:r>
      <w:r>
        <w:rPr>
          <w:rFonts w:hint="eastAsia" w:ascii="宋体" w:hAnsi="宋体" w:eastAsia="宋体" w:cs="宋体"/>
          <w:i w:val="0"/>
          <w:iCs w:val="0"/>
          <w:caps w:val="0"/>
          <w:color w:val="000000"/>
          <w:spacing w:val="0"/>
          <w:sz w:val="24"/>
          <w:szCs w:val="24"/>
          <w:bdr w:val="none" w:color="auto" w:sz="0" w:space="0"/>
          <w:shd w:val="clear" w:fill="FFFFFF"/>
          <w:lang w:val="en-US" w:eastAsia="zh-CN"/>
        </w:rPr>
        <w:t>4</w:t>
      </w:r>
      <w:r>
        <w:rPr>
          <w:rFonts w:ascii="宋体" w:hAnsi="宋体" w:eastAsia="宋体" w:cs="宋体"/>
          <w:i w:val="0"/>
          <w:iCs w:val="0"/>
          <w:caps w:val="0"/>
          <w:color w:val="000000"/>
          <w:spacing w:val="0"/>
          <w:sz w:val="24"/>
          <w:szCs w:val="24"/>
          <w:bdr w:val="none" w:color="auto" w:sz="0" w:space="0"/>
          <w:shd w:val="clear" w:fill="FFFFFF"/>
        </w:rPr>
        <w:t>年政府信息公开工作年度报告。该报告由六个部分组成，包括：总体情况、行政机关主动公开政府信息情况、行政机关收到和处理政府信息公开申请情况、因政府信息公开被申请行政复议和提起行政诉讼情况、政府信息公开工作中存在的主要问题及改进情况、其他需要报告的事项。</w:t>
      </w:r>
      <w:r>
        <w:rPr>
          <w:rFonts w:hint="eastAsia" w:ascii="宋体" w:hAnsi="宋体" w:eastAsia="宋体" w:cs="宋体"/>
          <w:i w:val="0"/>
          <w:iCs w:val="0"/>
          <w:caps w:val="0"/>
          <w:color w:val="000000"/>
          <w:spacing w:val="0"/>
          <w:sz w:val="24"/>
          <w:szCs w:val="24"/>
          <w:bdr w:val="none" w:color="auto" w:sz="0" w:space="0"/>
          <w:shd w:val="clear" w:fill="FFFFFF"/>
        </w:rPr>
        <w:t>年度报告中所列数据的统计期限自202</w:t>
      </w:r>
      <w:r>
        <w:rPr>
          <w:rFonts w:hint="eastAsia" w:ascii="宋体" w:hAnsi="宋体" w:eastAsia="宋体" w:cs="宋体"/>
          <w:i w:val="0"/>
          <w:iCs w:val="0"/>
          <w:caps w:val="0"/>
          <w:color w:val="000000"/>
          <w:spacing w:val="0"/>
          <w:sz w:val="24"/>
          <w:szCs w:val="24"/>
          <w:bdr w:val="none" w:color="auto" w:sz="0" w:space="0"/>
          <w:shd w:val="clear" w:fill="FFFFFF"/>
          <w:lang w:val="en-US" w:eastAsia="zh-CN"/>
        </w:rPr>
        <w:t>4</w:t>
      </w:r>
      <w:r>
        <w:rPr>
          <w:rFonts w:hint="eastAsia" w:ascii="宋体" w:hAnsi="宋体" w:eastAsia="宋体" w:cs="宋体"/>
          <w:i w:val="0"/>
          <w:iCs w:val="0"/>
          <w:caps w:val="0"/>
          <w:color w:val="000000"/>
          <w:spacing w:val="0"/>
          <w:sz w:val="24"/>
          <w:szCs w:val="24"/>
          <w:bdr w:val="none" w:color="auto" w:sz="0" w:space="0"/>
          <w:shd w:val="clear" w:fill="FFFFFF"/>
        </w:rPr>
        <w:t>年1月1日起至202</w:t>
      </w:r>
      <w:r>
        <w:rPr>
          <w:rFonts w:hint="eastAsia" w:ascii="宋体" w:hAnsi="宋体" w:eastAsia="宋体" w:cs="宋体"/>
          <w:i w:val="0"/>
          <w:iCs w:val="0"/>
          <w:caps w:val="0"/>
          <w:color w:val="000000"/>
          <w:spacing w:val="0"/>
          <w:sz w:val="24"/>
          <w:szCs w:val="24"/>
          <w:bdr w:val="none" w:color="auto" w:sz="0" w:space="0"/>
          <w:shd w:val="clear" w:fill="FFFFFF"/>
          <w:lang w:val="en-US" w:eastAsia="zh-CN"/>
        </w:rPr>
        <w:t>4</w:t>
      </w:r>
      <w:r>
        <w:rPr>
          <w:rFonts w:hint="eastAsia" w:ascii="宋体" w:hAnsi="宋体" w:eastAsia="宋体" w:cs="宋体"/>
          <w:i w:val="0"/>
          <w:iCs w:val="0"/>
          <w:caps w:val="0"/>
          <w:color w:val="000000"/>
          <w:spacing w:val="0"/>
          <w:sz w:val="24"/>
          <w:szCs w:val="24"/>
          <w:bdr w:val="none" w:color="auto" w:sz="0" w:space="0"/>
          <w:shd w:val="clear" w:fill="FFFFFF"/>
        </w:rPr>
        <w:t>年12月31日止。边昭镇办公室地址：通榆县边昭镇，邮政编码：137201，联系电话：0436-4831355。</w:t>
      </w:r>
      <w:r>
        <w:rPr>
          <w:rFonts w:hint="eastAsia" w:ascii="宋体" w:hAnsi="宋体" w:eastAsia="宋体" w:cs="宋体"/>
          <w:sz w:val="24"/>
          <w:szCs w:val="24"/>
        </w:rPr>
        <w:t xml:space="preserve"> </w:t>
      </w:r>
    </w:p>
    <w:p w14:paraId="2246991A">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534B3250">
      <w:pPr>
        <w:ind w:firstLine="480" w:firstLineChars="200"/>
        <w:rPr>
          <w:rFonts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202</w:t>
      </w:r>
      <w:r>
        <w:rPr>
          <w:rFonts w:hint="eastAsia" w:ascii="宋体" w:hAnsi="宋体" w:eastAsia="宋体" w:cs="宋体"/>
          <w:i w:val="0"/>
          <w:iCs w:val="0"/>
          <w:caps w:val="0"/>
          <w:color w:val="000000"/>
          <w:spacing w:val="0"/>
          <w:sz w:val="24"/>
          <w:szCs w:val="24"/>
          <w:bdr w:val="none" w:color="auto" w:sz="0" w:space="0"/>
          <w:shd w:val="clear" w:fill="FFFFFF"/>
          <w:lang w:val="en-US" w:eastAsia="zh-CN"/>
        </w:rPr>
        <w:t>4</w:t>
      </w:r>
      <w:r>
        <w:rPr>
          <w:rFonts w:ascii="宋体" w:hAnsi="宋体" w:eastAsia="宋体" w:cs="宋体"/>
          <w:i w:val="0"/>
          <w:iCs w:val="0"/>
          <w:caps w:val="0"/>
          <w:color w:val="000000"/>
          <w:spacing w:val="0"/>
          <w:sz w:val="24"/>
          <w:szCs w:val="24"/>
          <w:bdr w:val="none" w:color="auto" w:sz="0" w:space="0"/>
          <w:shd w:val="clear" w:fill="FFFFFF"/>
        </w:rPr>
        <w:t>年，在县政府的正确领导下、在县政府办公室的指导支持下，我镇政府信息及政务公开工作在建立和完善各项制度、规范公开载体形式加强基础性建设工作等方面扎实开展工作，加大主动公开力度，有效保障了人民群众知情权、参与权、监督权。</w:t>
      </w:r>
      <w:r>
        <w:rPr>
          <w:rFonts w:hint="eastAsia" w:ascii="宋体" w:hAnsi="宋体" w:eastAsia="宋体" w:cs="宋体"/>
          <w:i w:val="0"/>
          <w:iCs w:val="0"/>
          <w:caps w:val="0"/>
          <w:color w:val="000000"/>
          <w:spacing w:val="0"/>
          <w:sz w:val="24"/>
          <w:szCs w:val="24"/>
          <w:bdr w:val="none" w:color="auto" w:sz="0" w:space="0"/>
          <w:shd w:val="clear" w:fill="FFFFFF"/>
        </w:rPr>
        <w:t>认真参照县政府相关规定，组织人员对</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政府工作信息进行清理，特别是对涉及人民群众切身利益的信息进行全面梳理，科学界定主动公开和不能公开的政府信息，以更好地为公民、法人或其他组织提供政府信息公开服务。镇政府把政务公开工作列入了重要议事日程，建立了政务公开制度，由专门办公室负责全乡信息的收集、整理和发布工作，各站所负责各自信息工作的报送管理工作，并把信息公开工作列为实绩考核的重要指标，确保了信息公开工作依法、有序进行，形成了职责分明、分工合理、各负其责、齐抓共管的工作局面。</w:t>
      </w:r>
    </w:p>
    <w:p w14:paraId="5BF9ECA3">
      <w:pPr>
        <w:numPr>
          <w:ilvl w:val="0"/>
          <w:numId w:val="1"/>
        </w:numPr>
        <w:ind w:firstLine="480" w:firstLineChars="200"/>
        <w:rPr>
          <w:rFonts w:hint="eastAsia" w:ascii="楷体" w:hAnsi="楷体" w:eastAsia="楷体" w:cs="楷体"/>
          <w:sz w:val="24"/>
          <w:szCs w:val="24"/>
        </w:rPr>
      </w:pPr>
      <w:r>
        <w:rPr>
          <w:rFonts w:hint="eastAsia" w:ascii="楷体" w:hAnsi="楷体" w:eastAsia="楷体" w:cs="楷体"/>
          <w:sz w:val="24"/>
          <w:szCs w:val="24"/>
        </w:rPr>
        <w:t>组织推动全省政府信息公开工作。</w:t>
      </w:r>
    </w:p>
    <w:p w14:paraId="095C4918">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我镇</w:t>
      </w:r>
      <w:r>
        <w:rPr>
          <w:rFonts w:hint="eastAsia" w:ascii="宋体" w:hAnsi="宋体" w:eastAsia="宋体" w:cs="宋体"/>
          <w:i w:val="0"/>
          <w:iCs w:val="0"/>
          <w:caps w:val="0"/>
          <w:color w:val="000000"/>
          <w:spacing w:val="0"/>
          <w:sz w:val="24"/>
          <w:szCs w:val="24"/>
          <w:bdr w:val="none" w:color="auto" w:sz="0" w:space="0"/>
          <w:shd w:val="clear" w:fill="FFFFFF"/>
          <w:lang w:val="en-US" w:eastAsia="zh-CN"/>
        </w:rPr>
        <w:t>对于政务公开工作</w:t>
      </w:r>
      <w:r>
        <w:rPr>
          <w:rFonts w:hint="eastAsia" w:ascii="宋体" w:hAnsi="宋体" w:eastAsia="宋体" w:cs="宋体"/>
          <w:i w:val="0"/>
          <w:iCs w:val="0"/>
          <w:caps w:val="0"/>
          <w:color w:val="000000"/>
          <w:spacing w:val="0"/>
          <w:sz w:val="24"/>
          <w:szCs w:val="24"/>
          <w:bdr w:val="none" w:color="auto" w:sz="0" w:space="0"/>
          <w:shd w:val="clear" w:fill="FFFFFF"/>
        </w:rPr>
        <w:t>做到有部署、有安排、有回音，明确了政务公开的内容、方法、步骤、目标，把政务公开工作纳入重要议事日程，定期召开专题会议进行部署，坚决不走过场，不应付了事，不搞假公开，注重质量和实效，坚决做到让群众满意，让人民放心。完善信息发布“三审”制度及应急响应预案等，认真落实公开政府信息处理流程等制度规范，持续抓好政府信息公开源头认定、主动公开信息规范上网等工作，确保政务公开发布及时、准确、安全。</w:t>
      </w:r>
      <w:r>
        <w:rPr>
          <w:rFonts w:ascii="宋体" w:hAnsi="宋体" w:eastAsia="宋体" w:cs="宋体"/>
          <w:i w:val="0"/>
          <w:iCs w:val="0"/>
          <w:caps w:val="0"/>
          <w:color w:val="000000"/>
          <w:spacing w:val="0"/>
          <w:sz w:val="24"/>
          <w:szCs w:val="24"/>
          <w:bdr w:val="none" w:color="auto" w:sz="0" w:space="0"/>
          <w:shd w:val="clear" w:fill="FFFFFF"/>
        </w:rPr>
        <w:t>同时为了确保公开工作有序开展，我镇成立了政府信息及政务公开工作领导小组，由党委书记任组长，分管副镇长任副组长，各站、办、所负责人为成员，领导小组下设办公室，安排专人负责单位政府信息及政务公开日常工作，为政务公开工作提供坚实基础。</w:t>
      </w:r>
    </w:p>
    <w:p w14:paraId="0D691A63">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积极推动政府信息主动公开。</w:t>
      </w:r>
    </w:p>
    <w:p w14:paraId="5BA40CCD">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left"/>
        <w:textAlignment w:val="auto"/>
        <w:rPr>
          <w:rFonts w:ascii="宋体" w:hAnsi="宋体" w:eastAsia="宋体" w:cs="宋体"/>
          <w:sz w:val="24"/>
          <w:szCs w:val="24"/>
        </w:rPr>
      </w:pPr>
      <w:r>
        <w:rPr>
          <w:rFonts w:ascii="宋体" w:hAnsi="宋体" w:eastAsia="宋体" w:cs="宋体"/>
          <w:i w:val="0"/>
          <w:iCs w:val="0"/>
          <w:caps w:val="0"/>
          <w:color w:val="000000"/>
          <w:spacing w:val="0"/>
          <w:sz w:val="24"/>
          <w:szCs w:val="24"/>
          <w:shd w:val="clear" w:fill="FFFFFF"/>
        </w:rPr>
        <w:t>为政务公开工作提供稳定保障抓事权公开。一是公开政府的重要决策事项。将政府的经济和社会发展目标、规划及项目建设等重大问题通过政府网、公开栏等进行公开。重要干部任免、大额度的资金使用都经镇领导班子成员讨论后，以下发文件的方式或在全镇干部职工会议上公开。二是设立政务公开咨询点，全面公开行政审批内容和权限，使行政审批行为公开透明。三是及时将与群众利益密切相关的事项，及时、主动、有效地向社会公开。如基础设施建设、公益项目建设、惠民资金等重大事项，及时通过召开座谈会、公示、宣传栏等多种方式向社会公开。</w:t>
      </w:r>
    </w:p>
    <w:p w14:paraId="2E68855C">
      <w:pPr>
        <w:numPr>
          <w:ilvl w:val="0"/>
          <w:numId w:val="1"/>
        </w:numPr>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认真规范处理依申请公开。</w:t>
      </w:r>
    </w:p>
    <w:p w14:paraId="37DA6F31">
      <w:pPr>
        <w:numPr>
          <w:numId w:val="0"/>
        </w:numPr>
        <w:ind w:leftChars="200"/>
        <w:rPr>
          <w:rFonts w:ascii="宋体" w:hAnsi="宋体" w:eastAsia="宋体" w:cs="宋体"/>
          <w:sz w:val="24"/>
          <w:szCs w:val="24"/>
        </w:rPr>
      </w:pP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年全年无依申请公开。</w:t>
      </w:r>
    </w:p>
    <w:p w14:paraId="6E25DDBA">
      <w:pPr>
        <w:numPr>
          <w:ilvl w:val="0"/>
          <w:numId w:val="1"/>
        </w:numPr>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不断强化政府信息公开平台内容保障。</w:t>
      </w:r>
    </w:p>
    <w:p w14:paraId="2B6F0825">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left"/>
        <w:textAlignment w:val="auto"/>
        <w:rPr>
          <w:rFonts w:ascii="宋体" w:hAnsi="宋体" w:eastAsia="宋体" w:cs="宋体"/>
          <w:sz w:val="24"/>
          <w:szCs w:val="24"/>
        </w:rPr>
      </w:pP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年全年主动公开信息3</w:t>
      </w:r>
      <w:r>
        <w:rPr>
          <w:rFonts w:hint="eastAsia" w:ascii="宋体" w:hAnsi="宋体" w:eastAsia="宋体" w:cs="宋体"/>
          <w:i w:val="0"/>
          <w:iCs w:val="0"/>
          <w:caps w:val="0"/>
          <w:color w:val="000000"/>
          <w:spacing w:val="0"/>
          <w:sz w:val="24"/>
          <w:szCs w:val="24"/>
          <w:shd w:val="clear" w:fill="FFFFFF"/>
          <w:lang w:val="en-US" w:eastAsia="zh-CN"/>
        </w:rPr>
        <w:t>5</w:t>
      </w:r>
      <w:r>
        <w:rPr>
          <w:rFonts w:ascii="宋体" w:hAnsi="宋体" w:eastAsia="宋体" w:cs="宋体"/>
          <w:i w:val="0"/>
          <w:iCs w:val="0"/>
          <w:caps w:val="0"/>
          <w:color w:val="000000"/>
          <w:spacing w:val="0"/>
          <w:sz w:val="24"/>
          <w:szCs w:val="24"/>
          <w:shd w:val="clear" w:fill="FFFFFF"/>
        </w:rPr>
        <w:t>条</w:t>
      </w:r>
      <w:r>
        <w:rPr>
          <w:rFonts w:hint="eastAsia" w:ascii="宋体" w:hAnsi="宋体" w:eastAsia="宋体" w:cs="宋体"/>
          <w:i w:val="0"/>
          <w:iCs w:val="0"/>
          <w:caps w:val="0"/>
          <w:color w:val="000000"/>
          <w:spacing w:val="0"/>
          <w:sz w:val="24"/>
          <w:szCs w:val="24"/>
          <w:shd w:val="clear" w:fill="FFFFFF"/>
          <w:lang w:eastAsia="zh-CN"/>
        </w:rPr>
        <w:t>，</w:t>
      </w:r>
      <w:r>
        <w:rPr>
          <w:rFonts w:ascii="宋体" w:hAnsi="宋体" w:eastAsia="宋体" w:cs="宋体"/>
          <w:i w:val="0"/>
          <w:iCs w:val="0"/>
          <w:caps w:val="0"/>
          <w:color w:val="000000"/>
          <w:spacing w:val="0"/>
          <w:sz w:val="24"/>
          <w:szCs w:val="24"/>
          <w:shd w:val="clear" w:fill="FFFFFF"/>
        </w:rPr>
        <w:t>表述规范，在做好公文类信息公开的同时，不断拓展业务类、决策类等信息公开内容，对原有的政府信息公开目录进行补充完善，确保公开信息的完整性和准确性，切实满足公众的需求。</w:t>
      </w:r>
    </w:p>
    <w:p w14:paraId="21E88411">
      <w:pPr>
        <w:numPr>
          <w:ilvl w:val="0"/>
          <w:numId w:val="1"/>
        </w:numPr>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全力做好宣传培训评估考核等基础工作。</w:t>
      </w:r>
    </w:p>
    <w:p w14:paraId="3EF67FD7">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left"/>
        <w:textAlignment w:val="auto"/>
        <w:rPr>
          <w:rFonts w:ascii="宋体" w:hAnsi="宋体" w:eastAsia="宋体" w:cs="宋体"/>
          <w:sz w:val="24"/>
          <w:szCs w:val="24"/>
        </w:rPr>
      </w:pPr>
      <w:r>
        <w:rPr>
          <w:rFonts w:ascii="宋体" w:hAnsi="宋体" w:eastAsia="宋体" w:cs="宋体"/>
          <w:i w:val="0"/>
          <w:iCs w:val="0"/>
          <w:caps w:val="0"/>
          <w:color w:val="000000"/>
          <w:spacing w:val="0"/>
          <w:sz w:val="24"/>
          <w:szCs w:val="24"/>
          <w:shd w:val="clear" w:fill="FFFFFF"/>
        </w:rPr>
        <w:t>重宣传政务公开在构建法治政府，推进依法行政和保障人民群众知情权、参与权、表达权、监督权方面的重要作用，并围绕《政务公开条例》进行解读。以公开促落实、促规范、促服务、促效能，推进政务公开工作纵深发展，积极打造阳光政务和服务型政府，为和谐新郑建设发挥积极作用。</w:t>
      </w:r>
    </w:p>
    <w:p w14:paraId="7BB2910E">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5C46CAE2">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93F0F3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2C06F5F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90F20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B940AE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2FD55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517C9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0E7A101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5A9170">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1002B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3AA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405D3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CC09EAC">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B50FF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9287A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F09B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13178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03F0E81">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4D5D85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5CF9073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6D51B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6DDD50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C1693A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8C9C9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9EA78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0D516A0">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0B1189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792F4C6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670F3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B62A69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809E676">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01241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9950A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4DD90E1">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4B720A">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748194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96B4B8C">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519B52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5CB78C4C">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E5B8C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286341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2D694E2E">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6F0DD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E0268F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86DD0BF">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0CD184C9">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6C5126">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15C708">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DC40C0D">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33DF45F3">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B36F35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11D589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37757FE7">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4BC0A3">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2051FB">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095DF5CD">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23C20EAC">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1F6DCDB2">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90FCD">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966495">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9C1A78">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FD6193">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4BB0B0">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1237DF8E">
            <w:pPr>
              <w:widowControl/>
              <w:jc w:val="left"/>
              <w:rPr>
                <w:rFonts w:ascii="宋体" w:hAnsi="宋体" w:eastAsia="宋体" w:cs="宋体"/>
                <w:kern w:val="0"/>
                <w:sz w:val="24"/>
                <w:szCs w:val="24"/>
              </w:rPr>
            </w:pPr>
          </w:p>
        </w:tc>
      </w:tr>
      <w:tr w14:paraId="28AF09C3">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9BE1C6">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7AE26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5863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46DB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DD0A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57C5B4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81020E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FB2C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67D9D9C">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57A90">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6FD8D">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0C34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11E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A765D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668B7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DFA78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8940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A811E5D">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31E77D">
            <w:pPr>
              <w:widowControl/>
              <w:rPr>
                <w:rFonts w:hint="eastAsia" w:ascii="宋体" w:hAnsi="宋体" w:eastAsia="宋体" w:cs="宋体"/>
                <w:kern w:val="0"/>
                <w:sz w:val="20"/>
                <w:szCs w:val="20"/>
              </w:rPr>
            </w:pPr>
          </w:p>
          <w:p w14:paraId="5146F1BA">
            <w:pPr>
              <w:widowControl/>
              <w:rPr>
                <w:rFonts w:hint="eastAsia" w:ascii="宋体" w:hAnsi="宋体" w:eastAsia="宋体" w:cs="宋体"/>
                <w:kern w:val="0"/>
                <w:sz w:val="20"/>
                <w:szCs w:val="20"/>
              </w:rPr>
            </w:pPr>
          </w:p>
          <w:p w14:paraId="39FD5572">
            <w:pPr>
              <w:widowControl/>
              <w:rPr>
                <w:rFonts w:hint="eastAsia" w:ascii="宋体" w:hAnsi="宋体" w:eastAsia="宋体" w:cs="宋体"/>
                <w:kern w:val="0"/>
                <w:sz w:val="20"/>
                <w:szCs w:val="20"/>
              </w:rPr>
            </w:pPr>
          </w:p>
          <w:p w14:paraId="534DDA00">
            <w:pPr>
              <w:widowControl/>
              <w:rPr>
                <w:rFonts w:hint="eastAsia" w:ascii="宋体" w:hAnsi="宋体" w:eastAsia="宋体" w:cs="宋体"/>
                <w:kern w:val="0"/>
                <w:sz w:val="20"/>
                <w:szCs w:val="20"/>
              </w:rPr>
            </w:pPr>
          </w:p>
          <w:p w14:paraId="41496382">
            <w:pPr>
              <w:widowControl/>
              <w:rPr>
                <w:rFonts w:hint="eastAsia" w:ascii="宋体" w:hAnsi="宋体" w:eastAsia="宋体" w:cs="宋体"/>
                <w:kern w:val="0"/>
                <w:sz w:val="20"/>
                <w:szCs w:val="20"/>
              </w:rPr>
            </w:pPr>
          </w:p>
          <w:p w14:paraId="2EB76844">
            <w:pPr>
              <w:widowControl/>
              <w:rPr>
                <w:rFonts w:hint="eastAsia" w:ascii="宋体" w:hAnsi="宋体" w:eastAsia="宋体" w:cs="宋体"/>
                <w:kern w:val="0"/>
                <w:sz w:val="20"/>
                <w:szCs w:val="20"/>
              </w:rPr>
            </w:pPr>
          </w:p>
          <w:p w14:paraId="38923F7C">
            <w:pPr>
              <w:widowControl/>
              <w:rPr>
                <w:rFonts w:hint="eastAsia" w:ascii="宋体" w:hAnsi="宋体" w:eastAsia="宋体" w:cs="宋体"/>
                <w:kern w:val="0"/>
                <w:sz w:val="20"/>
                <w:szCs w:val="20"/>
              </w:rPr>
            </w:pPr>
          </w:p>
          <w:p w14:paraId="43DC1069">
            <w:pPr>
              <w:widowControl/>
              <w:rPr>
                <w:rFonts w:hint="eastAsia" w:ascii="宋体" w:hAnsi="宋体" w:eastAsia="宋体" w:cs="宋体"/>
                <w:kern w:val="0"/>
                <w:sz w:val="20"/>
                <w:szCs w:val="20"/>
              </w:rPr>
            </w:pPr>
          </w:p>
          <w:p w14:paraId="46F41FF1">
            <w:pPr>
              <w:widowControl/>
              <w:rPr>
                <w:rFonts w:hint="eastAsia" w:ascii="宋体" w:hAnsi="宋体" w:eastAsia="宋体" w:cs="宋体"/>
                <w:kern w:val="0"/>
                <w:sz w:val="20"/>
                <w:szCs w:val="20"/>
              </w:rPr>
            </w:pPr>
          </w:p>
          <w:p w14:paraId="5B3C4701">
            <w:pPr>
              <w:widowControl/>
              <w:rPr>
                <w:rFonts w:hint="eastAsia" w:ascii="宋体" w:hAnsi="宋体" w:eastAsia="宋体" w:cs="宋体"/>
                <w:kern w:val="0"/>
                <w:sz w:val="20"/>
                <w:szCs w:val="20"/>
              </w:rPr>
            </w:pPr>
          </w:p>
          <w:p w14:paraId="4F4DA5B7">
            <w:pPr>
              <w:widowControl/>
              <w:rPr>
                <w:rFonts w:hint="eastAsia" w:ascii="宋体" w:hAnsi="宋体" w:eastAsia="宋体" w:cs="宋体"/>
                <w:kern w:val="0"/>
                <w:sz w:val="20"/>
                <w:szCs w:val="20"/>
              </w:rPr>
            </w:pPr>
          </w:p>
          <w:p w14:paraId="16030BA6">
            <w:pPr>
              <w:widowControl/>
              <w:rPr>
                <w:rFonts w:hint="eastAsia" w:ascii="宋体" w:hAnsi="宋体" w:eastAsia="宋体" w:cs="宋体"/>
                <w:kern w:val="0"/>
                <w:sz w:val="20"/>
                <w:szCs w:val="20"/>
              </w:rPr>
            </w:pPr>
          </w:p>
          <w:p w14:paraId="386C29B6">
            <w:pPr>
              <w:widowControl/>
              <w:rPr>
                <w:rFonts w:hint="eastAsia" w:ascii="宋体" w:hAnsi="宋体" w:eastAsia="宋体" w:cs="宋体"/>
                <w:kern w:val="0"/>
                <w:sz w:val="20"/>
                <w:szCs w:val="20"/>
              </w:rPr>
            </w:pPr>
          </w:p>
          <w:p w14:paraId="36CFB086">
            <w:pPr>
              <w:widowControl/>
              <w:rPr>
                <w:rFonts w:hint="eastAsia" w:ascii="宋体" w:hAnsi="宋体" w:eastAsia="宋体" w:cs="宋体"/>
                <w:kern w:val="0"/>
                <w:sz w:val="20"/>
                <w:szCs w:val="20"/>
              </w:rPr>
            </w:pPr>
          </w:p>
          <w:p w14:paraId="40B6C928">
            <w:pPr>
              <w:widowControl/>
              <w:rPr>
                <w:rFonts w:hint="eastAsia" w:ascii="宋体" w:hAnsi="宋体" w:eastAsia="宋体" w:cs="宋体"/>
                <w:kern w:val="0"/>
                <w:sz w:val="20"/>
                <w:szCs w:val="20"/>
              </w:rPr>
            </w:pPr>
          </w:p>
          <w:p w14:paraId="58203EA1">
            <w:pPr>
              <w:widowControl/>
              <w:rPr>
                <w:rFonts w:hint="eastAsia" w:ascii="宋体" w:hAnsi="宋体" w:eastAsia="宋体" w:cs="宋体"/>
                <w:kern w:val="0"/>
                <w:sz w:val="20"/>
                <w:szCs w:val="20"/>
              </w:rPr>
            </w:pPr>
          </w:p>
          <w:p w14:paraId="0D93ED71">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45CFEF0D">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C5A5518">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45C985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5A8E1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967B7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F51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46676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7BA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C8B4B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334CE9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8E8F09C">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98A477D">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83EEA9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F418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132B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680D6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F7B8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8FE246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F197E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938D54C">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68FD72">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3FD8C0E">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7CF6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56E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7D88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CD95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AE6C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5FD6F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467B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F7A3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05395E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4F9C63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82EF56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34F11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A6DCC4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4265D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42F46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4B642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21857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1803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78585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F500147">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9B6210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549859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4CA83">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97C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9371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7C7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95B0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AD902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BFDA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D701EC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A3F44A2">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188419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1A246E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FC8A6">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AE3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098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5747F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93C5B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1C12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70DA7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A7DEA3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24F5C2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8591F3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3D3E5C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81E5E">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30BF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9BE9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1D1C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DDB8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4B52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9CFB8A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6687B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90DE361">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BB9DAE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ACF6E2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413B4C">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3609A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2C9C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762D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54F21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40EB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B503DC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AD662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2F7A4EE">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9A5199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C38DBD7">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3BD178">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40420B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DE78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2DC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02DDC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FD4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0A2C6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982A0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BAB179B">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61099A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F39067A">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700EA3">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7E50FB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660D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39C48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10607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1C2F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7BC13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025583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BA0E03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DB163A9">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16ED737">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E3FAA">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DDB4FF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ECA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4B55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DBD1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86207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3EFC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1EB3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57F541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DC3C9D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2460FA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112353">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366E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2E44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8A61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161DB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4D30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90DA78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BB4A48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42396F2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3381B3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2183127">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9CCD46">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03825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5B131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FDE2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B3FF3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0ECBD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9FE2E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AC24D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2B8D22B">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3AEA9E4">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23A5888">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71FBFA">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64A9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18C87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844F8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D41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DE97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DD4011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9583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EA5F582">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AFE1B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EDD9E50">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D0C582">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99C638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DD63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C37D1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84DA2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1D3A6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EC48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CF797A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6D91A377">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35E1DF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FA00C7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FF7E5">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17EC9E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AA9A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DEE6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1114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3B24D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74C17E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68CF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32037027">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DCBEA7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302C60A">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3CFFB7">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958B43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9ECCF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ABDB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6E390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92F1D6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E578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D5C2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5301BDEF">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20BA99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AB15DFB">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8839A">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C562A9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A2AD7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6170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4ECE7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D2C43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712D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4342F9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1BC4B574">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22A5DF">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3F48C382">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8A03DF">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5D5712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0C59F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36640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97F1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5C34A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E387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7023A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1E9D8B7">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6C128B8">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1AA82DEF">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5C41BB">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86DD0F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9A4EE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55DF1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88A8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29703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CFC3FA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8EE7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99096DB">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88215CA">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0640A978">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DE8E0E">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9464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18868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10DF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4FC53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9DBF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420507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559E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105D260">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3C75B14">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A5281A7">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BA2FC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BA6D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B6E66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A4AC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9E8FF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B5C587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A007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07FBE20A">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B94D3B">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D2E42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62B43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C9A5C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82FA45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91CD7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E274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64AA70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14:paraId="1F232583">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76352B6">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26FF13">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4466F8">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62C61A01">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FBE865">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BB3BD29">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B6D189">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278DEC">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AF607A1">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F1D9BD">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7DB932">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54D9525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39FEBE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4CC56BF">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DFA315D">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66E693FB">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C9AEDAC">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AD4901">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CAC036">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C96432">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248225">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2BA73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EA8297">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496C75">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FCC41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6ED59C">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F57AE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3501D90">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BFEC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F382DB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DE58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0909D9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22C9A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99BA7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6D43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344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C8D1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60FAF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E21B3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4C55B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6A33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1144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D8B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16D4F2A9">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191ED1D4">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（一）存在的不足</w:t>
      </w:r>
    </w:p>
    <w:p w14:paraId="2DCF1D36">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思想认识有待提升。各站、办、所负责人和信息员对政府信息公开工作的重要性认识仍然不到位，在开展政务公开工作中存在主动性不够强，工作能力水平还不够高的情况。二是信息公开制度还不够完善。已在不断健全完善信息公开各项制度，但制度科学性、规范性、可执行性仍有待提升，对制度的执行、监督力度还不够。三是监督方面力度不足。在政务信息公开方面，监督机制不够完善、监督力度不足是目前存在的比较明显的问题。</w:t>
      </w:r>
    </w:p>
    <w:p w14:paraId="3D565317">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（二）下一步改进情况</w:t>
      </w:r>
    </w:p>
    <w:p w14:paraId="43EC238B">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加强政府信息公开工作理论学习和业务培训。进一步适应新常态、新思路，在不断提升政府信息公开工作整体水平的同时，重视干部职工对《条例》等理论知识学习和业务技能培训，提升专业素养。二是加大力度。对照《条例》确定的政府信息公开范围，及时发布和更新依法主动公开的政府信息，确保政府信息的及时、准确公开，并认真做好答复依申请公开政府信息的各项准备工作。加强业务培训与交流，提高各部门对信息公开的重视度，充分认识做好政府信息公开工作的重大意义。</w:t>
      </w:r>
    </w:p>
    <w:p w14:paraId="2553B10E">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76EF6887">
      <w:pPr>
        <w:ind w:firstLine="480" w:firstLineChars="200"/>
        <w:rPr>
          <w:rFonts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我镇负责的政府网站政府信息公开目录更新及时、无空白栏且本单位网站政府信息公开目录中的内容与县政府网站各单位负责的政府信息公开目录内容同步。应公开的规范性文件均纳入目录公开且目录公开中不存在动态新闻、消息以</w:t>
      </w:r>
      <w:r>
        <w:rPr>
          <w:rFonts w:ascii="宋体" w:hAnsi="宋体" w:eastAsia="宋体" w:cs="宋体"/>
          <w:i w:val="0"/>
          <w:iCs w:val="0"/>
          <w:caps w:val="0"/>
          <w:color w:val="333333"/>
          <w:spacing w:val="0"/>
          <w:sz w:val="24"/>
          <w:szCs w:val="24"/>
          <w:bdr w:val="none" w:color="auto" w:sz="0" w:space="0"/>
          <w:shd w:val="clear" w:fill="FFFFFF"/>
        </w:rPr>
        <w:t>及不实用信息。</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3BADF7BF">
        <w:pPr>
          <w:pStyle w:val="3"/>
          <w:jc w:val="center"/>
        </w:pPr>
        <w:r>
          <w:fldChar w:fldCharType="begin"/>
        </w:r>
        <w:r>
          <w:instrText xml:space="preserve">PAGE   \* MERGEFORMAT</w:instrText>
        </w:r>
        <w:r>
          <w:fldChar w:fldCharType="separate"/>
        </w:r>
        <w:r>
          <w:rPr>
            <w:lang w:val="zh-CN"/>
          </w:rPr>
          <w:t>1</w:t>
        </w:r>
        <w:r>
          <w:fldChar w:fldCharType="end"/>
        </w:r>
      </w:p>
    </w:sdtContent>
  </w:sdt>
  <w:p w14:paraId="5FA840A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C6AA7"/>
    <w:multiLevelType w:val="singleLevel"/>
    <w:tmpl w:val="F80C6AA7"/>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BD32B4D"/>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677</Words>
  <Characters>691</Characters>
  <Lines>10</Lines>
  <Paragraphs>2</Paragraphs>
  <TotalTime>47</TotalTime>
  <ScaleCrop>false</ScaleCrop>
  <LinksUpToDate>false</LinksUpToDate>
  <CharactersWithSpaces>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滑板没鞋</cp:lastModifiedBy>
  <cp:lastPrinted>2021-01-14T07:20:00Z</cp:lastPrinted>
  <dcterms:modified xsi:type="dcterms:W3CDTF">2025-01-21T01:59:36Z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97FEFCB10DA14C8C9B7E747115EE5E50</vt:lpwstr>
  </property>
  <property fmtid="{D5CDD505-2E9C-101B-9397-08002B2CF9AE}" pid="4" name="KSOTemplateDocerSaveRecord">
    <vt:lpwstr>eyJoZGlkIjoiOTg5OTNiNjViNmNmMmVjM2MyZDVmMTY3ODBiMWE3YzYiLCJ1c2VySWQiOiI0NTI5MTc1NjkifQ==</vt:lpwstr>
  </property>
</Properties>
</file>