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15"/>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通榆县</w:t>
      </w:r>
      <w:r>
        <w:rPr>
          <w:rFonts w:hint="eastAsia" w:ascii="方正小标宋_GBK" w:hAnsi="方正小标宋_GBK" w:eastAsia="方正小标宋_GBK" w:cs="方正小标宋_GBK"/>
          <w:b w:val="0"/>
          <w:bCs w:val="0"/>
          <w:lang w:val="en-US" w:eastAsia="zh-CN"/>
        </w:rPr>
        <w:t>危险化学品</w:t>
      </w:r>
      <w:r>
        <w:rPr>
          <w:rFonts w:hint="eastAsia" w:ascii="方正小标宋_GBK" w:hAnsi="方正小标宋_GBK" w:eastAsia="方正小标宋_GBK" w:cs="方正小标宋_GBK"/>
          <w:b w:val="0"/>
          <w:bCs w:val="0"/>
        </w:rPr>
        <w:t>事故应急预案</w:t>
      </w: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（2024年修订）</w:t>
      </w: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通榆县人民政府</w:t>
      </w: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2024年4月1日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15"/>
        <w:bidi w:val="0"/>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目  录</w:t>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TOC \o "1-3" \h \u </w:instrText>
      </w:r>
      <w:r>
        <w:rPr>
          <w:rFonts w:hint="default"/>
          <w:sz w:val="18"/>
          <w:szCs w:val="18"/>
          <w:lang w:val="en-US" w:eastAsia="zh-CN"/>
        </w:rPr>
        <w:fldChar w:fldCharType="separate"/>
      </w:r>
      <w:r>
        <w:rPr>
          <w:rFonts w:hint="default"/>
          <w:sz w:val="18"/>
          <w:szCs w:val="18"/>
          <w:lang w:val="en-US" w:eastAsia="zh-CN"/>
        </w:rPr>
        <w:fldChar w:fldCharType="begin" w:fldLock="1"/>
      </w:r>
      <w:r>
        <w:rPr>
          <w:rFonts w:hint="default"/>
          <w:sz w:val="18"/>
          <w:szCs w:val="18"/>
          <w:lang w:val="en-US" w:eastAsia="zh-CN"/>
        </w:rPr>
        <w:instrText xml:space="preserve"> HYPERLINK \l _Toc4831 </w:instrText>
      </w:r>
      <w:r>
        <w:rPr>
          <w:rFonts w:hint="default"/>
          <w:sz w:val="18"/>
          <w:szCs w:val="18"/>
          <w:lang w:val="en-US" w:eastAsia="zh-CN"/>
        </w:rPr>
        <w:fldChar w:fldCharType="separate"/>
      </w:r>
      <w:r>
        <w:rPr>
          <w:rFonts w:hint="eastAsia"/>
          <w:sz w:val="18"/>
          <w:szCs w:val="18"/>
          <w:lang w:val="en-US" w:eastAsia="zh-CN"/>
        </w:rPr>
        <w:t>1总则</w:t>
      </w:r>
      <w:r>
        <w:rPr>
          <w:sz w:val="18"/>
          <w:szCs w:val="18"/>
        </w:rPr>
        <w:tab/>
      </w:r>
      <w:r>
        <w:rPr>
          <w:sz w:val="18"/>
          <w:szCs w:val="18"/>
        </w:rPr>
        <w:fldChar w:fldCharType="begin" w:fldLock="1"/>
      </w:r>
      <w:r>
        <w:rPr>
          <w:sz w:val="18"/>
          <w:szCs w:val="18"/>
        </w:rPr>
        <w:instrText xml:space="preserve"> PAGEREF _Toc4831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_Toc10384 </w:instrText>
      </w:r>
      <w:r>
        <w:rPr>
          <w:rFonts w:hint="default"/>
          <w:sz w:val="18"/>
          <w:szCs w:val="18"/>
          <w:lang w:val="en-US" w:eastAsia="zh-CN"/>
        </w:rPr>
        <w:fldChar w:fldCharType="separate"/>
      </w:r>
      <w:r>
        <w:rPr>
          <w:rFonts w:hint="eastAsia"/>
          <w:sz w:val="18"/>
          <w:szCs w:val="18"/>
          <w:lang w:val="en-US" w:eastAsia="zh-CN"/>
        </w:rPr>
        <w:t>1.1编制目的</w:t>
      </w:r>
      <w:r>
        <w:rPr>
          <w:sz w:val="18"/>
          <w:szCs w:val="18"/>
        </w:rPr>
        <w:tab/>
      </w:r>
      <w:r>
        <w:rPr>
          <w:sz w:val="18"/>
          <w:szCs w:val="18"/>
        </w:rPr>
        <w:fldChar w:fldCharType="begin" w:fldLock="1"/>
      </w:r>
      <w:r>
        <w:rPr>
          <w:sz w:val="18"/>
          <w:szCs w:val="18"/>
        </w:rPr>
        <w:instrText xml:space="preserve"> PAGEREF _Toc10384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_Toc17361 </w:instrText>
      </w:r>
      <w:r>
        <w:rPr>
          <w:rFonts w:hint="default"/>
          <w:sz w:val="18"/>
          <w:szCs w:val="18"/>
          <w:lang w:val="en-US" w:eastAsia="zh-CN"/>
        </w:rPr>
        <w:fldChar w:fldCharType="separate"/>
      </w:r>
      <w:r>
        <w:rPr>
          <w:rFonts w:hint="eastAsia"/>
          <w:sz w:val="18"/>
          <w:szCs w:val="18"/>
          <w:lang w:val="en-US" w:eastAsia="zh-CN"/>
        </w:rPr>
        <w:t>1.2编制依据</w:t>
      </w:r>
      <w:r>
        <w:rPr>
          <w:sz w:val="18"/>
          <w:szCs w:val="18"/>
        </w:rPr>
        <w:tab/>
      </w:r>
      <w:r>
        <w:rPr>
          <w:sz w:val="18"/>
          <w:szCs w:val="18"/>
        </w:rPr>
        <w:fldChar w:fldCharType="begin" w:fldLock="1"/>
      </w:r>
      <w:r>
        <w:rPr>
          <w:sz w:val="18"/>
          <w:szCs w:val="18"/>
        </w:rPr>
        <w:instrText xml:space="preserve"> PAGEREF _Toc17361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_Toc16197 </w:instrText>
      </w:r>
      <w:r>
        <w:rPr>
          <w:rFonts w:hint="default"/>
          <w:sz w:val="18"/>
          <w:szCs w:val="18"/>
          <w:lang w:val="en-US" w:eastAsia="zh-CN"/>
        </w:rPr>
        <w:fldChar w:fldCharType="separate"/>
      </w:r>
      <w:r>
        <w:rPr>
          <w:rFonts w:hint="eastAsia"/>
          <w:sz w:val="18"/>
          <w:szCs w:val="18"/>
          <w:lang w:val="en-US" w:eastAsia="zh-CN"/>
        </w:rPr>
        <w:t>1.3适用范围</w:t>
      </w:r>
      <w:r>
        <w:rPr>
          <w:sz w:val="18"/>
          <w:szCs w:val="18"/>
        </w:rPr>
        <w:tab/>
      </w:r>
      <w:r>
        <w:rPr>
          <w:sz w:val="18"/>
          <w:szCs w:val="18"/>
        </w:rPr>
        <w:fldChar w:fldCharType="begin" w:fldLock="1"/>
      </w:r>
      <w:r>
        <w:rPr>
          <w:sz w:val="18"/>
          <w:szCs w:val="18"/>
        </w:rPr>
        <w:instrText xml:space="preserve"> PAGEREF _Toc16197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_Toc32435 </w:instrText>
      </w:r>
      <w:r>
        <w:rPr>
          <w:rFonts w:hint="default"/>
          <w:sz w:val="18"/>
          <w:szCs w:val="18"/>
          <w:lang w:val="en-US" w:eastAsia="zh-CN"/>
        </w:rPr>
        <w:fldChar w:fldCharType="separate"/>
      </w:r>
      <w:r>
        <w:rPr>
          <w:rFonts w:hint="eastAsia"/>
          <w:sz w:val="18"/>
          <w:szCs w:val="18"/>
          <w:lang w:val="en-US" w:eastAsia="zh-CN"/>
        </w:rPr>
        <w:t>1.4工作原则</w:t>
      </w:r>
      <w:r>
        <w:rPr>
          <w:sz w:val="18"/>
          <w:szCs w:val="18"/>
        </w:rPr>
        <w:tab/>
      </w:r>
      <w:r>
        <w:rPr>
          <w:sz w:val="18"/>
          <w:szCs w:val="18"/>
        </w:rPr>
        <w:fldChar w:fldCharType="begin" w:fldLock="1"/>
      </w:r>
      <w:r>
        <w:rPr>
          <w:sz w:val="18"/>
          <w:szCs w:val="18"/>
        </w:rPr>
        <w:instrText xml:space="preserve"> PAGEREF _Toc32435 \h </w:instrText>
      </w:r>
      <w:r>
        <w:rPr>
          <w:sz w:val="18"/>
          <w:szCs w:val="18"/>
        </w:rPr>
        <w:fldChar w:fldCharType="separate"/>
      </w:r>
      <w:r>
        <w:rPr>
          <w:sz w:val="18"/>
          <w:szCs w:val="18"/>
        </w:rPr>
        <w:t>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_Toc7869 </w:instrText>
      </w:r>
      <w:r>
        <w:rPr>
          <w:rFonts w:hint="default"/>
          <w:sz w:val="18"/>
          <w:szCs w:val="18"/>
          <w:lang w:val="en-US" w:eastAsia="zh-CN"/>
        </w:rPr>
        <w:fldChar w:fldCharType="separate"/>
      </w:r>
      <w:r>
        <w:rPr>
          <w:rFonts w:hint="eastAsia"/>
          <w:sz w:val="18"/>
          <w:szCs w:val="18"/>
          <w:lang w:val="en-US" w:eastAsia="zh-CN"/>
        </w:rPr>
        <w:t>1.5事故分级</w:t>
      </w:r>
      <w:r>
        <w:rPr>
          <w:sz w:val="18"/>
          <w:szCs w:val="18"/>
        </w:rPr>
        <w:tab/>
      </w:r>
      <w:r>
        <w:rPr>
          <w:sz w:val="18"/>
          <w:szCs w:val="18"/>
        </w:rPr>
        <w:fldChar w:fldCharType="begin" w:fldLock="1"/>
      </w:r>
      <w:r>
        <w:rPr>
          <w:sz w:val="18"/>
          <w:szCs w:val="18"/>
        </w:rPr>
        <w:instrText xml:space="preserve"> PAGEREF _Toc7869 \h </w:instrText>
      </w:r>
      <w:r>
        <w:rPr>
          <w:sz w:val="18"/>
          <w:szCs w:val="18"/>
        </w:rPr>
        <w:fldChar w:fldCharType="separate"/>
      </w:r>
      <w:r>
        <w:rPr>
          <w:sz w:val="18"/>
          <w:szCs w:val="18"/>
        </w:rPr>
        <w:t>2</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_Toc2194 </w:instrText>
      </w:r>
      <w:r>
        <w:rPr>
          <w:rFonts w:hint="default"/>
          <w:sz w:val="18"/>
          <w:szCs w:val="18"/>
          <w:lang w:val="en-US" w:eastAsia="zh-CN"/>
        </w:rPr>
        <w:fldChar w:fldCharType="separate"/>
      </w:r>
      <w:r>
        <w:rPr>
          <w:rFonts w:hint="eastAsia"/>
          <w:sz w:val="18"/>
          <w:szCs w:val="18"/>
          <w:lang w:val="en-US" w:eastAsia="zh-CN"/>
        </w:rPr>
        <w:t>2组织指挥机构及职责</w:t>
      </w:r>
      <w:r>
        <w:rPr>
          <w:sz w:val="18"/>
          <w:szCs w:val="18"/>
        </w:rPr>
        <w:tab/>
      </w:r>
      <w:r>
        <w:rPr>
          <w:sz w:val="18"/>
          <w:szCs w:val="18"/>
        </w:rPr>
        <w:fldChar w:fldCharType="begin" w:fldLock="1"/>
      </w:r>
      <w:r>
        <w:rPr>
          <w:sz w:val="18"/>
          <w:szCs w:val="18"/>
        </w:rPr>
        <w:instrText xml:space="preserve"> PAGEREF _Toc2194 \h </w:instrText>
      </w:r>
      <w:r>
        <w:rPr>
          <w:sz w:val="18"/>
          <w:szCs w:val="18"/>
        </w:rPr>
        <w:fldChar w:fldCharType="separate"/>
      </w:r>
      <w:r>
        <w:rPr>
          <w:sz w:val="18"/>
          <w:szCs w:val="18"/>
        </w:rPr>
        <w:t>4</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_Toc32363 </w:instrText>
      </w:r>
      <w:r>
        <w:rPr>
          <w:rFonts w:hint="default"/>
          <w:sz w:val="18"/>
          <w:szCs w:val="18"/>
          <w:lang w:val="en-US" w:eastAsia="zh-CN"/>
        </w:rPr>
        <w:fldChar w:fldCharType="separate"/>
      </w:r>
      <w:r>
        <w:rPr>
          <w:rFonts w:hint="eastAsia"/>
          <w:sz w:val="18"/>
          <w:szCs w:val="18"/>
          <w:lang w:val="en-US" w:eastAsia="zh-CN"/>
        </w:rPr>
        <w:t>2.1县组织指挥机构及职责</w:t>
      </w:r>
      <w:r>
        <w:rPr>
          <w:sz w:val="18"/>
          <w:szCs w:val="18"/>
        </w:rPr>
        <w:tab/>
      </w:r>
      <w:r>
        <w:rPr>
          <w:sz w:val="18"/>
          <w:szCs w:val="18"/>
        </w:rPr>
        <w:fldChar w:fldCharType="begin" w:fldLock="1"/>
      </w:r>
      <w:r>
        <w:rPr>
          <w:sz w:val="18"/>
          <w:szCs w:val="18"/>
        </w:rPr>
        <w:instrText xml:space="preserve"> PAGEREF _Toc32363 \h </w:instrText>
      </w:r>
      <w:r>
        <w:rPr>
          <w:sz w:val="18"/>
          <w:szCs w:val="18"/>
        </w:rPr>
        <w:fldChar w:fldCharType="separate"/>
      </w:r>
      <w:r>
        <w:rPr>
          <w:sz w:val="18"/>
          <w:szCs w:val="18"/>
        </w:rPr>
        <w:t>4</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_Toc3909 </w:instrText>
      </w:r>
      <w:r>
        <w:rPr>
          <w:rFonts w:hint="default"/>
          <w:sz w:val="18"/>
          <w:szCs w:val="18"/>
          <w:lang w:val="en-US" w:eastAsia="zh-CN"/>
        </w:rPr>
        <w:fldChar w:fldCharType="separate"/>
      </w:r>
      <w:r>
        <w:rPr>
          <w:rFonts w:hint="eastAsia"/>
          <w:sz w:val="18"/>
          <w:szCs w:val="18"/>
          <w:lang w:val="en-US" w:eastAsia="zh-CN"/>
        </w:rPr>
        <w:t>2.1.1县生产安全事故应急指挥部及职责</w:t>
      </w:r>
      <w:r>
        <w:rPr>
          <w:sz w:val="18"/>
          <w:szCs w:val="18"/>
        </w:rPr>
        <w:tab/>
      </w:r>
      <w:r>
        <w:rPr>
          <w:sz w:val="18"/>
          <w:szCs w:val="18"/>
        </w:rPr>
        <w:fldChar w:fldCharType="begin" w:fldLock="1"/>
      </w:r>
      <w:r>
        <w:rPr>
          <w:sz w:val="18"/>
          <w:szCs w:val="18"/>
        </w:rPr>
        <w:instrText xml:space="preserve"> PAGEREF _Toc3909 \h </w:instrText>
      </w:r>
      <w:r>
        <w:rPr>
          <w:sz w:val="18"/>
          <w:szCs w:val="18"/>
        </w:rPr>
        <w:fldChar w:fldCharType="separate"/>
      </w:r>
      <w:r>
        <w:rPr>
          <w:sz w:val="18"/>
          <w:szCs w:val="18"/>
        </w:rPr>
        <w:t>4</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_Toc8243 </w:instrText>
      </w:r>
      <w:r>
        <w:rPr>
          <w:rFonts w:hint="default"/>
          <w:sz w:val="18"/>
          <w:szCs w:val="18"/>
          <w:lang w:val="en-US" w:eastAsia="zh-CN"/>
        </w:rPr>
        <w:fldChar w:fldCharType="separate"/>
      </w:r>
      <w:r>
        <w:rPr>
          <w:rFonts w:hint="eastAsia"/>
          <w:sz w:val="18"/>
          <w:szCs w:val="18"/>
          <w:lang w:val="en-US" w:eastAsia="zh-CN"/>
        </w:rPr>
        <w:t>2.1.2县指挥部办公室及职责</w:t>
      </w:r>
      <w:r>
        <w:rPr>
          <w:sz w:val="18"/>
          <w:szCs w:val="18"/>
        </w:rPr>
        <w:tab/>
      </w:r>
      <w:r>
        <w:rPr>
          <w:sz w:val="18"/>
          <w:szCs w:val="18"/>
        </w:rPr>
        <w:fldChar w:fldCharType="begin" w:fldLock="1"/>
      </w:r>
      <w:r>
        <w:rPr>
          <w:sz w:val="18"/>
          <w:szCs w:val="18"/>
        </w:rPr>
        <w:instrText xml:space="preserve"> PAGEREF _Toc8243 \h </w:instrText>
      </w:r>
      <w:r>
        <w:rPr>
          <w:sz w:val="18"/>
          <w:szCs w:val="18"/>
        </w:rPr>
        <w:fldChar w:fldCharType="separate"/>
      </w:r>
      <w:r>
        <w:rPr>
          <w:sz w:val="18"/>
          <w:szCs w:val="18"/>
        </w:rPr>
        <w:t>6</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_Toc4840 </w:instrText>
      </w:r>
      <w:r>
        <w:rPr>
          <w:rFonts w:hint="default"/>
          <w:sz w:val="18"/>
          <w:szCs w:val="18"/>
          <w:lang w:val="en-US" w:eastAsia="zh-CN"/>
        </w:rPr>
        <w:fldChar w:fldCharType="separate"/>
      </w:r>
      <w:r>
        <w:rPr>
          <w:rFonts w:hint="eastAsia"/>
          <w:sz w:val="18"/>
          <w:szCs w:val="18"/>
          <w:lang w:val="en-US" w:eastAsia="zh-CN"/>
        </w:rPr>
        <w:t>2.1.3县指挥部成员单位及职责</w:t>
      </w:r>
      <w:r>
        <w:rPr>
          <w:sz w:val="18"/>
          <w:szCs w:val="18"/>
        </w:rPr>
        <w:tab/>
      </w:r>
      <w:r>
        <w:rPr>
          <w:sz w:val="18"/>
          <w:szCs w:val="18"/>
        </w:rPr>
        <w:fldChar w:fldCharType="begin" w:fldLock="1"/>
      </w:r>
      <w:r>
        <w:rPr>
          <w:sz w:val="18"/>
          <w:szCs w:val="18"/>
        </w:rPr>
        <w:instrText xml:space="preserve"> PAGEREF _Toc4840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_Toc14974 </w:instrText>
      </w:r>
      <w:r>
        <w:rPr>
          <w:rFonts w:hint="default"/>
          <w:sz w:val="18"/>
          <w:szCs w:val="18"/>
          <w:lang w:val="en-US" w:eastAsia="zh-CN"/>
        </w:rPr>
        <w:fldChar w:fldCharType="separate"/>
      </w:r>
      <w:r>
        <w:rPr>
          <w:rFonts w:hint="eastAsia"/>
          <w:sz w:val="18"/>
          <w:szCs w:val="18"/>
          <w:lang w:val="en-US" w:eastAsia="zh-CN"/>
        </w:rPr>
        <w:t>2.2县以下组织指挥机构</w:t>
      </w:r>
      <w:r>
        <w:rPr>
          <w:sz w:val="18"/>
          <w:szCs w:val="18"/>
        </w:rPr>
        <w:tab/>
      </w:r>
      <w:r>
        <w:rPr>
          <w:sz w:val="18"/>
          <w:szCs w:val="18"/>
        </w:rPr>
        <w:fldChar w:fldCharType="begin" w:fldLock="1"/>
      </w:r>
      <w:r>
        <w:rPr>
          <w:sz w:val="18"/>
          <w:szCs w:val="18"/>
        </w:rPr>
        <w:instrText xml:space="preserve"> PAGEREF _Toc14974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_Toc13323 </w:instrText>
      </w:r>
      <w:r>
        <w:rPr>
          <w:rFonts w:hint="default"/>
          <w:sz w:val="18"/>
          <w:szCs w:val="18"/>
          <w:lang w:val="en-US" w:eastAsia="zh-CN"/>
        </w:rPr>
        <w:fldChar w:fldCharType="separate"/>
      </w:r>
      <w:r>
        <w:rPr>
          <w:rFonts w:hint="eastAsia"/>
          <w:sz w:val="18"/>
          <w:szCs w:val="18"/>
          <w:lang w:val="en-US" w:eastAsia="zh-CN"/>
        </w:rPr>
        <w:t>2.3现场指挥机构</w:t>
      </w:r>
      <w:r>
        <w:rPr>
          <w:sz w:val="18"/>
          <w:szCs w:val="18"/>
        </w:rPr>
        <w:tab/>
      </w:r>
      <w:r>
        <w:rPr>
          <w:sz w:val="18"/>
          <w:szCs w:val="18"/>
        </w:rPr>
        <w:fldChar w:fldCharType="begin" w:fldLock="1"/>
      </w:r>
      <w:r>
        <w:rPr>
          <w:sz w:val="18"/>
          <w:szCs w:val="18"/>
        </w:rPr>
        <w:instrText xml:space="preserve"> PAGEREF _Toc13323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_Toc26659 </w:instrText>
      </w:r>
      <w:r>
        <w:rPr>
          <w:rFonts w:hint="default"/>
          <w:sz w:val="18"/>
          <w:szCs w:val="18"/>
          <w:lang w:val="en-US" w:eastAsia="zh-CN"/>
        </w:rPr>
        <w:fldChar w:fldCharType="separate"/>
      </w:r>
      <w:r>
        <w:rPr>
          <w:rFonts w:hint="eastAsia"/>
          <w:sz w:val="18"/>
          <w:szCs w:val="18"/>
          <w:lang w:val="en-US" w:eastAsia="zh-CN"/>
        </w:rPr>
        <w:t>2.4专家组</w:t>
      </w:r>
      <w:r>
        <w:rPr>
          <w:sz w:val="18"/>
          <w:szCs w:val="18"/>
        </w:rPr>
        <w:tab/>
      </w:r>
      <w:r>
        <w:rPr>
          <w:sz w:val="18"/>
          <w:szCs w:val="18"/>
        </w:rPr>
        <w:fldChar w:fldCharType="begin" w:fldLock="1"/>
      </w:r>
      <w:r>
        <w:rPr>
          <w:sz w:val="18"/>
          <w:szCs w:val="18"/>
        </w:rPr>
        <w:instrText xml:space="preserve"> PAGEREF _Toc26659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_Toc21650 </w:instrText>
      </w:r>
      <w:r>
        <w:rPr>
          <w:rFonts w:hint="default"/>
          <w:sz w:val="18"/>
          <w:szCs w:val="18"/>
          <w:lang w:val="en-US" w:eastAsia="zh-CN"/>
        </w:rPr>
        <w:fldChar w:fldCharType="separate"/>
      </w:r>
      <w:r>
        <w:rPr>
          <w:rFonts w:hint="eastAsia"/>
          <w:sz w:val="18"/>
          <w:szCs w:val="18"/>
          <w:lang w:val="en-US" w:eastAsia="zh-CN"/>
        </w:rPr>
        <w:t>2.5危险化学品单位</w:t>
      </w:r>
      <w:r>
        <w:rPr>
          <w:sz w:val="18"/>
          <w:szCs w:val="18"/>
        </w:rPr>
        <w:tab/>
      </w:r>
      <w:r>
        <w:rPr>
          <w:sz w:val="18"/>
          <w:szCs w:val="18"/>
        </w:rPr>
        <w:fldChar w:fldCharType="begin" w:fldLock="1"/>
      </w:r>
      <w:r>
        <w:rPr>
          <w:sz w:val="18"/>
          <w:szCs w:val="18"/>
        </w:rPr>
        <w:instrText xml:space="preserve"> PAGEREF _Toc21650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_Toc29779 </w:instrText>
      </w:r>
      <w:r>
        <w:rPr>
          <w:rFonts w:hint="default"/>
          <w:sz w:val="18"/>
          <w:szCs w:val="18"/>
          <w:lang w:val="en-US" w:eastAsia="zh-CN"/>
        </w:rPr>
        <w:fldChar w:fldCharType="separate"/>
      </w:r>
      <w:r>
        <w:rPr>
          <w:rFonts w:hint="eastAsia"/>
          <w:sz w:val="18"/>
          <w:szCs w:val="18"/>
          <w:lang w:val="en-US" w:eastAsia="zh-CN"/>
        </w:rPr>
        <w:t>3预防预警机制</w:t>
      </w:r>
      <w:r>
        <w:rPr>
          <w:sz w:val="18"/>
          <w:szCs w:val="18"/>
        </w:rPr>
        <w:tab/>
      </w:r>
      <w:r>
        <w:rPr>
          <w:sz w:val="18"/>
          <w:szCs w:val="18"/>
        </w:rPr>
        <w:fldChar w:fldCharType="begin" w:fldLock="1"/>
      </w:r>
      <w:r>
        <w:rPr>
          <w:sz w:val="18"/>
          <w:szCs w:val="18"/>
        </w:rPr>
        <w:instrText xml:space="preserve"> PAGEREF _Toc29779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_Toc10325 </w:instrText>
      </w:r>
      <w:r>
        <w:rPr>
          <w:rFonts w:hint="default"/>
          <w:sz w:val="18"/>
          <w:szCs w:val="18"/>
          <w:lang w:val="en-US" w:eastAsia="zh-CN"/>
        </w:rPr>
        <w:fldChar w:fldCharType="separate"/>
      </w:r>
      <w:r>
        <w:rPr>
          <w:rFonts w:hint="eastAsia"/>
          <w:sz w:val="18"/>
          <w:szCs w:val="18"/>
          <w:lang w:val="en-US" w:eastAsia="zh-CN"/>
        </w:rPr>
        <w:t>3.1安全风险管控</w:t>
      </w:r>
      <w:r>
        <w:rPr>
          <w:sz w:val="18"/>
          <w:szCs w:val="18"/>
        </w:rPr>
        <w:tab/>
      </w:r>
      <w:r>
        <w:rPr>
          <w:sz w:val="18"/>
          <w:szCs w:val="18"/>
        </w:rPr>
        <w:fldChar w:fldCharType="begin" w:fldLock="1"/>
      </w:r>
      <w:r>
        <w:rPr>
          <w:sz w:val="18"/>
          <w:szCs w:val="18"/>
        </w:rPr>
        <w:instrText xml:space="preserve"> PAGEREF _Toc10325 \h </w:instrText>
      </w:r>
      <w:r>
        <w:rPr>
          <w:sz w:val="18"/>
          <w:szCs w:val="18"/>
        </w:rPr>
        <w:fldChar w:fldCharType="separate"/>
      </w:r>
      <w:r>
        <w:rPr>
          <w:sz w:val="18"/>
          <w:szCs w:val="18"/>
        </w:rPr>
        <w:t>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_Toc19243 </w:instrText>
      </w:r>
      <w:r>
        <w:rPr>
          <w:rFonts w:hint="default"/>
          <w:sz w:val="18"/>
          <w:szCs w:val="18"/>
          <w:lang w:val="en-US" w:eastAsia="zh-CN"/>
        </w:rPr>
        <w:fldChar w:fldCharType="separate"/>
      </w:r>
      <w:r>
        <w:rPr>
          <w:rFonts w:hint="eastAsia"/>
          <w:sz w:val="18"/>
          <w:szCs w:val="18"/>
          <w:lang w:val="en-US" w:eastAsia="zh-CN"/>
        </w:rPr>
        <w:t>3.2危险化学品事故预警</w:t>
      </w:r>
      <w:r>
        <w:rPr>
          <w:sz w:val="18"/>
          <w:szCs w:val="18"/>
        </w:rPr>
        <w:tab/>
      </w:r>
      <w:r>
        <w:rPr>
          <w:sz w:val="18"/>
          <w:szCs w:val="18"/>
        </w:rPr>
        <w:fldChar w:fldCharType="begin" w:fldLock="1"/>
      </w:r>
      <w:r>
        <w:rPr>
          <w:sz w:val="18"/>
          <w:szCs w:val="18"/>
        </w:rPr>
        <w:instrText xml:space="preserve"> PAGEREF _Toc19243 \h </w:instrText>
      </w:r>
      <w:r>
        <w:rPr>
          <w:sz w:val="18"/>
          <w:szCs w:val="18"/>
        </w:rPr>
        <w:fldChar w:fldCharType="separate"/>
      </w:r>
      <w:r>
        <w:rPr>
          <w:sz w:val="18"/>
          <w:szCs w:val="18"/>
        </w:rPr>
        <w:t>9</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_Toc31747 </w:instrText>
      </w:r>
      <w:r>
        <w:rPr>
          <w:rFonts w:hint="default"/>
          <w:sz w:val="18"/>
          <w:szCs w:val="18"/>
          <w:lang w:val="en-US" w:eastAsia="zh-CN"/>
        </w:rPr>
        <w:fldChar w:fldCharType="separate"/>
      </w:r>
      <w:r>
        <w:rPr>
          <w:rFonts w:hint="eastAsia"/>
          <w:sz w:val="18"/>
          <w:szCs w:val="18"/>
          <w:lang w:val="en-US" w:eastAsia="zh-CN"/>
        </w:rPr>
        <w:t>3.2.1预警级别</w:t>
      </w:r>
      <w:r>
        <w:rPr>
          <w:sz w:val="18"/>
          <w:szCs w:val="18"/>
        </w:rPr>
        <w:tab/>
      </w:r>
      <w:r>
        <w:rPr>
          <w:sz w:val="18"/>
          <w:szCs w:val="18"/>
        </w:rPr>
        <w:fldChar w:fldCharType="begin" w:fldLock="1"/>
      </w:r>
      <w:r>
        <w:rPr>
          <w:sz w:val="18"/>
          <w:szCs w:val="18"/>
        </w:rPr>
        <w:instrText xml:space="preserve"> PAGEREF _Toc31747 \h </w:instrText>
      </w:r>
      <w:r>
        <w:rPr>
          <w:sz w:val="18"/>
          <w:szCs w:val="18"/>
        </w:rPr>
        <w:fldChar w:fldCharType="separate"/>
      </w:r>
      <w:r>
        <w:rPr>
          <w:sz w:val="18"/>
          <w:szCs w:val="18"/>
        </w:rPr>
        <w:t>10</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_Toc23455 </w:instrText>
      </w:r>
      <w:r>
        <w:rPr>
          <w:rFonts w:hint="default"/>
          <w:sz w:val="18"/>
          <w:szCs w:val="18"/>
          <w:lang w:val="en-US" w:eastAsia="zh-CN"/>
        </w:rPr>
        <w:fldChar w:fldCharType="separate"/>
      </w:r>
      <w:r>
        <w:rPr>
          <w:rFonts w:hint="eastAsia"/>
          <w:sz w:val="18"/>
          <w:szCs w:val="18"/>
          <w:lang w:val="en-US" w:eastAsia="zh-CN"/>
        </w:rPr>
        <w:t>3.2.2预警发布</w:t>
      </w:r>
      <w:r>
        <w:rPr>
          <w:sz w:val="18"/>
          <w:szCs w:val="18"/>
        </w:rPr>
        <w:tab/>
      </w:r>
      <w:r>
        <w:rPr>
          <w:sz w:val="18"/>
          <w:szCs w:val="18"/>
        </w:rPr>
        <w:fldChar w:fldCharType="begin" w:fldLock="1"/>
      </w:r>
      <w:r>
        <w:rPr>
          <w:sz w:val="18"/>
          <w:szCs w:val="18"/>
        </w:rPr>
        <w:instrText xml:space="preserve"> PAGEREF _Toc23455 \h </w:instrText>
      </w:r>
      <w:r>
        <w:rPr>
          <w:sz w:val="18"/>
          <w:szCs w:val="18"/>
        </w:rPr>
        <w:fldChar w:fldCharType="separate"/>
      </w:r>
      <w:r>
        <w:rPr>
          <w:sz w:val="18"/>
          <w:szCs w:val="18"/>
        </w:rPr>
        <w:t>10</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_Toc27603 </w:instrText>
      </w:r>
      <w:r>
        <w:rPr>
          <w:rFonts w:hint="default"/>
          <w:sz w:val="18"/>
          <w:szCs w:val="18"/>
          <w:lang w:val="en-US" w:eastAsia="zh-CN"/>
        </w:rPr>
        <w:fldChar w:fldCharType="separate"/>
      </w:r>
      <w:r>
        <w:rPr>
          <w:rFonts w:hint="eastAsia"/>
          <w:sz w:val="18"/>
          <w:szCs w:val="18"/>
          <w:lang w:val="en-US" w:eastAsia="zh-CN"/>
        </w:rPr>
        <w:t>3.2.3预警行动</w:t>
      </w:r>
      <w:r>
        <w:rPr>
          <w:sz w:val="18"/>
          <w:szCs w:val="18"/>
        </w:rPr>
        <w:tab/>
      </w:r>
      <w:r>
        <w:rPr>
          <w:sz w:val="18"/>
          <w:szCs w:val="18"/>
        </w:rPr>
        <w:fldChar w:fldCharType="begin" w:fldLock="1"/>
      </w:r>
      <w:r>
        <w:rPr>
          <w:sz w:val="18"/>
          <w:szCs w:val="18"/>
        </w:rPr>
        <w:instrText xml:space="preserve"> PAGEREF _Toc27603 \h </w:instrText>
      </w:r>
      <w:r>
        <w:rPr>
          <w:sz w:val="18"/>
          <w:szCs w:val="18"/>
        </w:rPr>
        <w:fldChar w:fldCharType="separate"/>
      </w:r>
      <w:r>
        <w:rPr>
          <w:sz w:val="18"/>
          <w:szCs w:val="18"/>
        </w:rPr>
        <w:t>11</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_Toc24014 </w:instrText>
      </w:r>
      <w:r>
        <w:rPr>
          <w:rFonts w:hint="default"/>
          <w:sz w:val="18"/>
          <w:szCs w:val="18"/>
          <w:lang w:val="en-US" w:eastAsia="zh-CN"/>
        </w:rPr>
        <w:fldChar w:fldCharType="separate"/>
      </w:r>
      <w:r>
        <w:rPr>
          <w:rFonts w:hint="eastAsia"/>
          <w:sz w:val="18"/>
          <w:szCs w:val="18"/>
          <w:lang w:val="en-US" w:eastAsia="zh-CN"/>
        </w:rPr>
        <w:t>3.2.4预警调整及解除</w:t>
      </w:r>
      <w:r>
        <w:rPr>
          <w:sz w:val="18"/>
          <w:szCs w:val="18"/>
        </w:rPr>
        <w:tab/>
      </w:r>
      <w:r>
        <w:rPr>
          <w:sz w:val="18"/>
          <w:szCs w:val="18"/>
        </w:rPr>
        <w:fldChar w:fldCharType="begin" w:fldLock="1"/>
      </w:r>
      <w:r>
        <w:rPr>
          <w:sz w:val="18"/>
          <w:szCs w:val="18"/>
        </w:rPr>
        <w:instrText xml:space="preserve"> PAGEREF _Toc24014 \h </w:instrText>
      </w:r>
      <w:r>
        <w:rPr>
          <w:sz w:val="18"/>
          <w:szCs w:val="18"/>
        </w:rPr>
        <w:fldChar w:fldCharType="separate"/>
      </w:r>
      <w:r>
        <w:rPr>
          <w:sz w:val="18"/>
          <w:szCs w:val="18"/>
        </w:rPr>
        <w:t>11</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_Toc20744 </w:instrText>
      </w:r>
      <w:r>
        <w:rPr>
          <w:rFonts w:hint="default"/>
          <w:sz w:val="18"/>
          <w:szCs w:val="18"/>
          <w:lang w:val="en-US" w:eastAsia="zh-CN"/>
        </w:rPr>
        <w:fldChar w:fldCharType="separate"/>
      </w:r>
      <w:r>
        <w:rPr>
          <w:rFonts w:hint="eastAsia"/>
          <w:sz w:val="18"/>
          <w:szCs w:val="18"/>
          <w:lang w:val="en-US" w:eastAsia="zh-CN"/>
        </w:rPr>
        <w:t>4应急响应</w:t>
      </w:r>
      <w:r>
        <w:rPr>
          <w:sz w:val="18"/>
          <w:szCs w:val="18"/>
        </w:rPr>
        <w:tab/>
      </w:r>
      <w:r>
        <w:rPr>
          <w:sz w:val="18"/>
          <w:szCs w:val="18"/>
        </w:rPr>
        <w:fldChar w:fldCharType="begin" w:fldLock="1"/>
      </w:r>
      <w:r>
        <w:rPr>
          <w:sz w:val="18"/>
          <w:szCs w:val="18"/>
        </w:rPr>
        <w:instrText xml:space="preserve"> PAGEREF _Toc20744 \h </w:instrText>
      </w:r>
      <w:r>
        <w:rPr>
          <w:sz w:val="18"/>
          <w:szCs w:val="18"/>
        </w:rPr>
        <w:fldChar w:fldCharType="separate"/>
      </w:r>
      <w:r>
        <w:rPr>
          <w:sz w:val="18"/>
          <w:szCs w:val="18"/>
        </w:rPr>
        <w:t>12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_Toc18699 </w:instrText>
      </w:r>
      <w:r>
        <w:rPr>
          <w:rFonts w:hint="default"/>
          <w:sz w:val="18"/>
          <w:szCs w:val="18"/>
          <w:lang w:val="en-US" w:eastAsia="zh-CN"/>
        </w:rPr>
        <w:fldChar w:fldCharType="separate"/>
      </w:r>
      <w:r>
        <w:rPr>
          <w:rFonts w:hint="eastAsia"/>
          <w:sz w:val="18"/>
          <w:szCs w:val="18"/>
          <w:lang w:val="en-US" w:eastAsia="zh-CN"/>
        </w:rPr>
        <w:t>4.1信息报告</w:t>
      </w:r>
      <w:r>
        <w:rPr>
          <w:sz w:val="18"/>
          <w:szCs w:val="18"/>
        </w:rPr>
        <w:tab/>
      </w:r>
      <w:r>
        <w:rPr>
          <w:sz w:val="18"/>
          <w:szCs w:val="18"/>
        </w:rPr>
        <w:fldChar w:fldCharType="begin" w:fldLock="1"/>
      </w:r>
      <w:r>
        <w:rPr>
          <w:sz w:val="18"/>
          <w:szCs w:val="18"/>
        </w:rPr>
        <w:instrText xml:space="preserve"> PAGEREF _Toc18699 \h </w:instrText>
      </w:r>
      <w:r>
        <w:rPr>
          <w:sz w:val="18"/>
          <w:szCs w:val="18"/>
        </w:rPr>
        <w:fldChar w:fldCharType="separate"/>
      </w:r>
      <w:r>
        <w:rPr>
          <w:sz w:val="18"/>
          <w:szCs w:val="18"/>
        </w:rPr>
        <w:t>12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_Toc9304 </w:instrText>
      </w:r>
      <w:r>
        <w:rPr>
          <w:rFonts w:hint="default"/>
          <w:sz w:val="18"/>
          <w:szCs w:val="18"/>
          <w:lang w:val="en-US" w:eastAsia="zh-CN"/>
        </w:rPr>
        <w:fldChar w:fldCharType="separate"/>
      </w:r>
      <w:r>
        <w:rPr>
          <w:rFonts w:hint="eastAsia"/>
          <w:sz w:val="18"/>
          <w:szCs w:val="18"/>
          <w:lang w:val="en-US" w:eastAsia="zh-CN"/>
        </w:rPr>
        <w:t>4.2事故单位应急处置措施</w:t>
      </w:r>
      <w:r>
        <w:rPr>
          <w:sz w:val="18"/>
          <w:szCs w:val="18"/>
        </w:rPr>
        <w:tab/>
      </w:r>
      <w:r>
        <w:rPr>
          <w:sz w:val="18"/>
          <w:szCs w:val="18"/>
        </w:rPr>
        <w:fldChar w:fldCharType="begin" w:fldLock="1"/>
      </w:r>
      <w:r>
        <w:rPr>
          <w:sz w:val="18"/>
          <w:szCs w:val="18"/>
        </w:rPr>
        <w:instrText xml:space="preserve"> PAGEREF _Toc9304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_Toc24353 </w:instrText>
      </w:r>
      <w:r>
        <w:rPr>
          <w:rFonts w:hint="default"/>
          <w:sz w:val="18"/>
          <w:szCs w:val="18"/>
          <w:lang w:val="en-US" w:eastAsia="zh-CN"/>
        </w:rPr>
        <w:fldChar w:fldCharType="separate"/>
      </w:r>
      <w:r>
        <w:rPr>
          <w:rFonts w:hint="eastAsia"/>
          <w:sz w:val="18"/>
          <w:szCs w:val="18"/>
          <w:lang w:val="en-US" w:eastAsia="zh-CN"/>
        </w:rPr>
        <w:t>4.3分层响应与响应分级</w:t>
      </w:r>
      <w:r>
        <w:rPr>
          <w:sz w:val="18"/>
          <w:szCs w:val="18"/>
        </w:rPr>
        <w:tab/>
      </w:r>
      <w:r>
        <w:rPr>
          <w:sz w:val="18"/>
          <w:szCs w:val="18"/>
        </w:rPr>
        <w:fldChar w:fldCharType="begin" w:fldLock="1"/>
      </w:r>
      <w:r>
        <w:rPr>
          <w:sz w:val="18"/>
          <w:szCs w:val="18"/>
        </w:rPr>
        <w:instrText xml:space="preserve"> PAGEREF _Toc24353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_Toc17580 </w:instrText>
      </w:r>
      <w:r>
        <w:rPr>
          <w:rFonts w:hint="default"/>
          <w:sz w:val="18"/>
          <w:szCs w:val="18"/>
          <w:lang w:val="en-US" w:eastAsia="zh-CN"/>
        </w:rPr>
        <w:fldChar w:fldCharType="separate"/>
      </w:r>
      <w:r>
        <w:rPr>
          <w:rFonts w:hint="eastAsia"/>
          <w:sz w:val="18"/>
          <w:szCs w:val="18"/>
          <w:lang w:val="en-US" w:eastAsia="zh-CN"/>
        </w:rPr>
        <w:t>4.3.1分层级响应</w:t>
      </w:r>
      <w:r>
        <w:rPr>
          <w:sz w:val="18"/>
          <w:szCs w:val="18"/>
        </w:rPr>
        <w:tab/>
      </w:r>
      <w:r>
        <w:rPr>
          <w:sz w:val="18"/>
          <w:szCs w:val="18"/>
        </w:rPr>
        <w:fldChar w:fldCharType="begin" w:fldLock="1"/>
      </w:r>
      <w:r>
        <w:rPr>
          <w:sz w:val="18"/>
          <w:szCs w:val="18"/>
        </w:rPr>
        <w:instrText xml:space="preserve"> PAGEREF _Toc17580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_Toc7819 </w:instrText>
      </w:r>
      <w:r>
        <w:rPr>
          <w:rFonts w:hint="default"/>
          <w:sz w:val="18"/>
          <w:szCs w:val="18"/>
          <w:lang w:val="en-US" w:eastAsia="zh-CN"/>
        </w:rPr>
        <w:fldChar w:fldCharType="separate"/>
      </w:r>
      <w:r>
        <w:rPr>
          <w:rFonts w:hint="eastAsia"/>
          <w:sz w:val="18"/>
          <w:szCs w:val="18"/>
          <w:lang w:val="en-US" w:eastAsia="zh-CN"/>
        </w:rPr>
        <w:t>4.3.2响应分级</w:t>
      </w:r>
      <w:r>
        <w:rPr>
          <w:sz w:val="18"/>
          <w:szCs w:val="18"/>
        </w:rPr>
        <w:tab/>
      </w:r>
      <w:r>
        <w:rPr>
          <w:sz w:val="18"/>
          <w:szCs w:val="18"/>
        </w:rPr>
        <w:fldChar w:fldCharType="begin" w:fldLock="1"/>
      </w:r>
      <w:r>
        <w:rPr>
          <w:sz w:val="18"/>
          <w:szCs w:val="18"/>
        </w:rPr>
        <w:instrText xml:space="preserve"> PAGEREF _Toc7819 \h </w:instrText>
      </w:r>
      <w:r>
        <w:rPr>
          <w:sz w:val="18"/>
          <w:szCs w:val="18"/>
        </w:rPr>
        <w:fldChar w:fldCharType="separate"/>
      </w:r>
      <w:r>
        <w:rPr>
          <w:sz w:val="18"/>
          <w:szCs w:val="18"/>
        </w:rPr>
        <w:t>14</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_Toc19677 </w:instrText>
      </w:r>
      <w:r>
        <w:rPr>
          <w:rFonts w:hint="default"/>
          <w:sz w:val="18"/>
          <w:szCs w:val="18"/>
          <w:lang w:val="en-US" w:eastAsia="zh-CN"/>
        </w:rPr>
        <w:fldChar w:fldCharType="separate"/>
      </w:r>
      <w:r>
        <w:rPr>
          <w:rFonts w:hint="eastAsia"/>
          <w:sz w:val="18"/>
          <w:szCs w:val="18"/>
          <w:lang w:val="en-US" w:eastAsia="zh-CN"/>
        </w:rPr>
        <w:t>4.4特别重大、重大、较大危险化学品事故响应</w:t>
      </w:r>
      <w:r>
        <w:rPr>
          <w:sz w:val="18"/>
          <w:szCs w:val="18"/>
        </w:rPr>
        <w:tab/>
      </w:r>
      <w:r>
        <w:rPr>
          <w:sz w:val="18"/>
          <w:szCs w:val="18"/>
        </w:rPr>
        <w:fldChar w:fldCharType="begin" w:fldLock="1"/>
      </w:r>
      <w:r>
        <w:rPr>
          <w:sz w:val="18"/>
          <w:szCs w:val="18"/>
        </w:rPr>
        <w:instrText xml:space="preserve"> PAGEREF _Toc19677 \h </w:instrText>
      </w:r>
      <w:r>
        <w:rPr>
          <w:sz w:val="18"/>
          <w:szCs w:val="18"/>
        </w:rPr>
        <w:fldChar w:fldCharType="separate"/>
      </w:r>
      <w:r>
        <w:rPr>
          <w:sz w:val="18"/>
          <w:szCs w:val="18"/>
        </w:rPr>
        <w:t>14</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_Toc15302 </w:instrText>
      </w:r>
      <w:r>
        <w:rPr>
          <w:rFonts w:hint="default"/>
          <w:sz w:val="18"/>
          <w:szCs w:val="18"/>
          <w:lang w:val="en-US" w:eastAsia="zh-CN"/>
        </w:rPr>
        <w:fldChar w:fldCharType="separate"/>
      </w:r>
      <w:r>
        <w:rPr>
          <w:rFonts w:hint="eastAsia"/>
          <w:sz w:val="18"/>
          <w:szCs w:val="18"/>
          <w:lang w:val="en-US" w:eastAsia="zh-CN"/>
        </w:rPr>
        <w:t>4.4.1先期处置</w:t>
      </w:r>
      <w:r>
        <w:rPr>
          <w:sz w:val="18"/>
          <w:szCs w:val="18"/>
        </w:rPr>
        <w:tab/>
      </w:r>
      <w:r>
        <w:rPr>
          <w:sz w:val="18"/>
          <w:szCs w:val="18"/>
        </w:rPr>
        <w:fldChar w:fldCharType="begin" w:fldLock="1"/>
      </w:r>
      <w:r>
        <w:rPr>
          <w:sz w:val="18"/>
          <w:szCs w:val="18"/>
        </w:rPr>
        <w:instrText xml:space="preserve"> PAGEREF _Toc15302 \h </w:instrText>
      </w:r>
      <w:r>
        <w:rPr>
          <w:sz w:val="18"/>
          <w:szCs w:val="18"/>
        </w:rPr>
        <w:fldChar w:fldCharType="separate"/>
      </w:r>
      <w:r>
        <w:rPr>
          <w:sz w:val="18"/>
          <w:szCs w:val="18"/>
        </w:rPr>
        <w:t>14</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_Toc14425 </w:instrText>
      </w:r>
      <w:r>
        <w:rPr>
          <w:rFonts w:hint="default"/>
          <w:sz w:val="18"/>
          <w:szCs w:val="18"/>
          <w:lang w:val="en-US" w:eastAsia="zh-CN"/>
        </w:rPr>
        <w:fldChar w:fldCharType="separate"/>
      </w:r>
      <w:r>
        <w:rPr>
          <w:rFonts w:hint="eastAsia"/>
          <w:sz w:val="18"/>
          <w:szCs w:val="18"/>
          <w:lang w:val="en-US" w:eastAsia="zh-CN"/>
        </w:rPr>
        <w:t>4.4.2现场指挥</w:t>
      </w:r>
      <w:r>
        <w:rPr>
          <w:sz w:val="18"/>
          <w:szCs w:val="18"/>
        </w:rPr>
        <w:tab/>
      </w:r>
      <w:r>
        <w:rPr>
          <w:sz w:val="18"/>
          <w:szCs w:val="18"/>
        </w:rPr>
        <w:fldChar w:fldCharType="begin" w:fldLock="1"/>
      </w:r>
      <w:r>
        <w:rPr>
          <w:sz w:val="18"/>
          <w:szCs w:val="18"/>
        </w:rPr>
        <w:instrText xml:space="preserve"> PAGEREF _Toc14425 \h </w:instrText>
      </w:r>
      <w:r>
        <w:rPr>
          <w:sz w:val="18"/>
          <w:szCs w:val="18"/>
        </w:rPr>
        <w:fldChar w:fldCharType="separate"/>
      </w:r>
      <w:r>
        <w:rPr>
          <w:sz w:val="18"/>
          <w:szCs w:val="18"/>
        </w:rPr>
        <w:t>16</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rFonts w:hint="default"/>
          <w:sz w:val="18"/>
          <w:szCs w:val="18"/>
          <w:lang w:val="en-US" w:eastAsia="zh-CN"/>
        </w:rPr>
        <w:sectPr>
          <w:footerReference r:id="rId5" w:type="default"/>
          <w:pgSz w:w="11906" w:h="16838"/>
          <w:pgMar w:top="2041" w:right="1531" w:bottom="2041" w:left="1531" w:header="851" w:footer="992" w:gutter="0"/>
          <w:pgNumType w:fmt="decimal" w:start="1"/>
          <w:cols w:space="425" w:num="1"/>
          <w:docGrid w:type="lines" w:linePitch="312" w:charSpace="0"/>
        </w:sectPr>
      </w:pP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_Toc491 </w:instrText>
      </w:r>
      <w:r>
        <w:rPr>
          <w:rFonts w:hint="default"/>
          <w:sz w:val="18"/>
          <w:szCs w:val="18"/>
          <w:lang w:val="en-US" w:eastAsia="zh-CN"/>
        </w:rPr>
        <w:fldChar w:fldCharType="separate"/>
      </w:r>
      <w:r>
        <w:rPr>
          <w:rFonts w:hint="eastAsia"/>
          <w:sz w:val="18"/>
          <w:szCs w:val="18"/>
          <w:lang w:val="en-US" w:eastAsia="zh-CN"/>
        </w:rPr>
        <w:t>4.5一般危险化学品事故响应</w:t>
      </w:r>
      <w:r>
        <w:rPr>
          <w:sz w:val="18"/>
          <w:szCs w:val="18"/>
        </w:rPr>
        <w:tab/>
      </w:r>
      <w:r>
        <w:rPr>
          <w:sz w:val="18"/>
          <w:szCs w:val="18"/>
        </w:rPr>
        <w:fldChar w:fldCharType="begin" w:fldLock="1"/>
      </w:r>
      <w:r>
        <w:rPr>
          <w:sz w:val="18"/>
          <w:szCs w:val="18"/>
        </w:rPr>
        <w:instrText xml:space="preserve"> PAGEREF _Toc491 \h </w:instrText>
      </w:r>
      <w:r>
        <w:rPr>
          <w:sz w:val="18"/>
          <w:szCs w:val="18"/>
        </w:rPr>
        <w:fldChar w:fldCharType="separate"/>
      </w:r>
      <w:r>
        <w:rPr>
          <w:sz w:val="18"/>
          <w:szCs w:val="18"/>
        </w:rPr>
        <w:t>16</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_Toc21961 </w:instrText>
      </w:r>
      <w:r>
        <w:rPr>
          <w:rFonts w:hint="default"/>
          <w:sz w:val="18"/>
          <w:szCs w:val="18"/>
          <w:lang w:val="en-US" w:eastAsia="zh-CN"/>
        </w:rPr>
        <w:fldChar w:fldCharType="separate"/>
      </w:r>
      <w:r>
        <w:rPr>
          <w:rFonts w:hint="eastAsia"/>
          <w:sz w:val="18"/>
          <w:szCs w:val="18"/>
          <w:lang w:val="en-US" w:eastAsia="zh-CN"/>
        </w:rPr>
        <w:t>4.5.1事发地政府先期处置</w:t>
      </w:r>
      <w:r>
        <w:rPr>
          <w:sz w:val="18"/>
          <w:szCs w:val="18"/>
        </w:rPr>
        <w:tab/>
      </w:r>
      <w:r>
        <w:rPr>
          <w:sz w:val="18"/>
          <w:szCs w:val="18"/>
        </w:rPr>
        <w:fldChar w:fldCharType="begin" w:fldLock="1"/>
      </w:r>
      <w:r>
        <w:rPr>
          <w:sz w:val="18"/>
          <w:szCs w:val="18"/>
        </w:rPr>
        <w:instrText xml:space="preserve"> PAGEREF _Toc21961 \h </w:instrText>
      </w:r>
      <w:r>
        <w:rPr>
          <w:sz w:val="18"/>
          <w:szCs w:val="18"/>
        </w:rPr>
        <w:fldChar w:fldCharType="separate"/>
      </w:r>
      <w:r>
        <w:rPr>
          <w:sz w:val="18"/>
          <w:szCs w:val="18"/>
        </w:rPr>
        <w:t>16</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_Toc15646 </w:instrText>
      </w:r>
      <w:r>
        <w:rPr>
          <w:rFonts w:hint="default"/>
          <w:sz w:val="18"/>
          <w:szCs w:val="18"/>
          <w:lang w:val="en-US" w:eastAsia="zh-CN"/>
        </w:rPr>
        <w:fldChar w:fldCharType="separate"/>
      </w:r>
      <w:r>
        <w:rPr>
          <w:rFonts w:hint="eastAsia"/>
          <w:sz w:val="18"/>
          <w:szCs w:val="18"/>
          <w:lang w:val="en-US" w:eastAsia="zh-CN"/>
        </w:rPr>
        <w:t>4.5.2县级处置</w:t>
      </w:r>
      <w:r>
        <w:rPr>
          <w:sz w:val="18"/>
          <w:szCs w:val="18"/>
        </w:rPr>
        <w:tab/>
      </w:r>
      <w:r>
        <w:rPr>
          <w:sz w:val="18"/>
          <w:szCs w:val="18"/>
        </w:rPr>
        <w:fldChar w:fldCharType="begin" w:fldLock="1"/>
      </w:r>
      <w:r>
        <w:rPr>
          <w:sz w:val="18"/>
          <w:szCs w:val="18"/>
        </w:rPr>
        <w:instrText xml:space="preserve"> PAGEREF _Toc15646 \h </w:instrText>
      </w:r>
      <w:r>
        <w:rPr>
          <w:sz w:val="18"/>
          <w:szCs w:val="18"/>
        </w:rPr>
        <w:fldChar w:fldCharType="separate"/>
      </w:r>
      <w:r>
        <w:rPr>
          <w:sz w:val="18"/>
          <w:szCs w:val="18"/>
        </w:rPr>
        <w:t>17</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_Toc16447 </w:instrText>
      </w:r>
      <w:r>
        <w:rPr>
          <w:rFonts w:hint="default"/>
          <w:sz w:val="18"/>
          <w:szCs w:val="18"/>
          <w:lang w:val="en-US" w:eastAsia="zh-CN"/>
        </w:rPr>
        <w:fldChar w:fldCharType="separate"/>
      </w:r>
      <w:r>
        <w:rPr>
          <w:rFonts w:hint="eastAsia"/>
          <w:sz w:val="18"/>
          <w:szCs w:val="18"/>
          <w:lang w:val="en-US" w:eastAsia="zh-CN"/>
        </w:rPr>
        <w:t>4.5.3现场指挥</w:t>
      </w:r>
      <w:r>
        <w:rPr>
          <w:sz w:val="18"/>
          <w:szCs w:val="18"/>
        </w:rPr>
        <w:tab/>
      </w:r>
      <w:r>
        <w:rPr>
          <w:sz w:val="18"/>
          <w:szCs w:val="18"/>
        </w:rPr>
        <w:fldChar w:fldCharType="begin" w:fldLock="1"/>
      </w:r>
      <w:r>
        <w:rPr>
          <w:sz w:val="18"/>
          <w:szCs w:val="18"/>
        </w:rPr>
        <w:instrText xml:space="preserve"> PAGEREF _Toc16447 \h </w:instrText>
      </w:r>
      <w:r>
        <w:rPr>
          <w:sz w:val="18"/>
          <w:szCs w:val="18"/>
        </w:rPr>
        <w:fldChar w:fldCharType="separate"/>
      </w:r>
      <w:r>
        <w:rPr>
          <w:sz w:val="18"/>
          <w:szCs w:val="18"/>
        </w:rPr>
        <w:t>18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_Toc9643 </w:instrText>
      </w:r>
      <w:r>
        <w:rPr>
          <w:rFonts w:hint="default"/>
          <w:sz w:val="18"/>
          <w:szCs w:val="18"/>
          <w:lang w:val="en-US" w:eastAsia="zh-CN"/>
        </w:rPr>
        <w:fldChar w:fldCharType="separate"/>
      </w:r>
      <w:r>
        <w:rPr>
          <w:rFonts w:hint="eastAsia"/>
          <w:sz w:val="18"/>
          <w:szCs w:val="18"/>
          <w:lang w:val="en-US" w:eastAsia="zh-CN"/>
        </w:rPr>
        <w:t>4.6信息发布</w:t>
      </w:r>
      <w:r>
        <w:rPr>
          <w:sz w:val="18"/>
          <w:szCs w:val="18"/>
        </w:rPr>
        <w:tab/>
      </w:r>
      <w:r>
        <w:rPr>
          <w:sz w:val="18"/>
          <w:szCs w:val="18"/>
        </w:rPr>
        <w:fldChar w:fldCharType="begin" w:fldLock="1"/>
      </w:r>
      <w:r>
        <w:rPr>
          <w:sz w:val="18"/>
          <w:szCs w:val="18"/>
        </w:rPr>
        <w:instrText xml:space="preserve"> PAGEREF _Toc9643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_Toc6768 </w:instrText>
      </w:r>
      <w:r>
        <w:rPr>
          <w:rFonts w:hint="default"/>
          <w:sz w:val="18"/>
          <w:szCs w:val="18"/>
          <w:lang w:val="en-US" w:eastAsia="zh-CN"/>
        </w:rPr>
        <w:fldChar w:fldCharType="separate"/>
      </w:r>
      <w:r>
        <w:rPr>
          <w:rFonts w:hint="eastAsia"/>
          <w:sz w:val="18"/>
          <w:szCs w:val="18"/>
          <w:lang w:val="en-US" w:eastAsia="zh-CN"/>
        </w:rPr>
        <w:t>4.7暂停救援与响应终止</w:t>
      </w:r>
      <w:r>
        <w:rPr>
          <w:sz w:val="18"/>
          <w:szCs w:val="18"/>
        </w:rPr>
        <w:tab/>
      </w:r>
      <w:r>
        <w:rPr>
          <w:sz w:val="18"/>
          <w:szCs w:val="18"/>
        </w:rPr>
        <w:fldChar w:fldCharType="begin" w:fldLock="1"/>
      </w:r>
      <w:r>
        <w:rPr>
          <w:sz w:val="18"/>
          <w:szCs w:val="18"/>
        </w:rPr>
        <w:instrText xml:space="preserve"> PAGEREF _Toc6768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_Toc14523 </w:instrText>
      </w:r>
      <w:r>
        <w:rPr>
          <w:rFonts w:hint="default"/>
          <w:sz w:val="18"/>
          <w:szCs w:val="18"/>
          <w:lang w:val="en-US" w:eastAsia="zh-CN"/>
        </w:rPr>
        <w:fldChar w:fldCharType="separate"/>
      </w:r>
      <w:r>
        <w:rPr>
          <w:rFonts w:hint="eastAsia"/>
          <w:sz w:val="18"/>
          <w:szCs w:val="18"/>
          <w:lang w:val="en-US" w:eastAsia="zh-CN"/>
        </w:rPr>
        <w:t>5后期处置</w:t>
      </w:r>
      <w:r>
        <w:rPr>
          <w:sz w:val="18"/>
          <w:szCs w:val="18"/>
        </w:rPr>
        <w:tab/>
      </w:r>
      <w:r>
        <w:rPr>
          <w:sz w:val="18"/>
          <w:szCs w:val="18"/>
        </w:rPr>
        <w:fldChar w:fldCharType="begin" w:fldLock="1"/>
      </w:r>
      <w:r>
        <w:rPr>
          <w:sz w:val="18"/>
          <w:szCs w:val="18"/>
        </w:rPr>
        <w:instrText xml:space="preserve"> PAGEREF _Toc14523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_Toc25849 </w:instrText>
      </w:r>
      <w:r>
        <w:rPr>
          <w:rFonts w:hint="default"/>
          <w:sz w:val="18"/>
          <w:szCs w:val="18"/>
          <w:lang w:val="en-US" w:eastAsia="zh-CN"/>
        </w:rPr>
        <w:fldChar w:fldCharType="separate"/>
      </w:r>
      <w:r>
        <w:rPr>
          <w:rFonts w:hint="eastAsia"/>
          <w:sz w:val="18"/>
          <w:szCs w:val="18"/>
          <w:lang w:val="en-US" w:eastAsia="zh-CN"/>
        </w:rPr>
        <w:t>5.1善后处置</w:t>
      </w:r>
      <w:r>
        <w:rPr>
          <w:sz w:val="18"/>
          <w:szCs w:val="18"/>
        </w:rPr>
        <w:tab/>
      </w:r>
      <w:r>
        <w:rPr>
          <w:sz w:val="18"/>
          <w:szCs w:val="18"/>
        </w:rPr>
        <w:fldChar w:fldCharType="begin" w:fldLock="1"/>
      </w:r>
      <w:r>
        <w:rPr>
          <w:sz w:val="18"/>
          <w:szCs w:val="18"/>
        </w:rPr>
        <w:instrText xml:space="preserve"> PAGEREF _Toc25849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_Toc5132 </w:instrText>
      </w:r>
      <w:r>
        <w:rPr>
          <w:rFonts w:hint="default"/>
          <w:sz w:val="18"/>
          <w:szCs w:val="18"/>
          <w:lang w:val="en-US" w:eastAsia="zh-CN"/>
        </w:rPr>
        <w:fldChar w:fldCharType="separate"/>
      </w:r>
      <w:r>
        <w:rPr>
          <w:rFonts w:hint="eastAsia"/>
          <w:sz w:val="18"/>
          <w:szCs w:val="18"/>
          <w:lang w:val="en-US" w:eastAsia="zh-CN"/>
        </w:rPr>
        <w:t>5.2调查评估</w:t>
      </w:r>
      <w:r>
        <w:rPr>
          <w:sz w:val="18"/>
          <w:szCs w:val="18"/>
        </w:rPr>
        <w:tab/>
      </w:r>
      <w:r>
        <w:rPr>
          <w:sz w:val="18"/>
          <w:szCs w:val="18"/>
        </w:rPr>
        <w:fldChar w:fldCharType="begin" w:fldLock="1"/>
      </w:r>
      <w:r>
        <w:rPr>
          <w:sz w:val="18"/>
          <w:szCs w:val="18"/>
        </w:rPr>
        <w:instrText xml:space="preserve"> PAGEREF _Toc5132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_Toc20441 </w:instrText>
      </w:r>
      <w:r>
        <w:rPr>
          <w:rFonts w:hint="default"/>
          <w:sz w:val="18"/>
          <w:szCs w:val="18"/>
          <w:lang w:val="en-US" w:eastAsia="zh-CN"/>
        </w:rPr>
        <w:fldChar w:fldCharType="separate"/>
      </w:r>
      <w:r>
        <w:rPr>
          <w:rFonts w:hint="eastAsia"/>
          <w:sz w:val="18"/>
          <w:szCs w:val="18"/>
          <w:lang w:val="en-US" w:eastAsia="zh-CN"/>
        </w:rPr>
        <w:t>6保障措施</w:t>
      </w:r>
      <w:r>
        <w:rPr>
          <w:sz w:val="18"/>
          <w:szCs w:val="18"/>
        </w:rPr>
        <w:tab/>
      </w:r>
      <w:r>
        <w:rPr>
          <w:sz w:val="18"/>
          <w:szCs w:val="18"/>
        </w:rPr>
        <w:fldChar w:fldCharType="begin" w:fldLock="1"/>
      </w:r>
      <w:r>
        <w:rPr>
          <w:sz w:val="18"/>
          <w:szCs w:val="18"/>
        </w:rPr>
        <w:instrText xml:space="preserve"> PAGEREF _Toc20441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_Toc21524 </w:instrText>
      </w:r>
      <w:r>
        <w:rPr>
          <w:rFonts w:hint="default"/>
          <w:sz w:val="18"/>
          <w:szCs w:val="18"/>
          <w:lang w:val="en-US" w:eastAsia="zh-CN"/>
        </w:rPr>
        <w:fldChar w:fldCharType="separate"/>
      </w:r>
      <w:r>
        <w:rPr>
          <w:rFonts w:hint="eastAsia"/>
          <w:sz w:val="18"/>
          <w:szCs w:val="18"/>
          <w:lang w:val="en-US" w:eastAsia="zh-CN"/>
        </w:rPr>
        <w:t>6.1应急队伍和物资保障</w:t>
      </w:r>
      <w:r>
        <w:rPr>
          <w:sz w:val="18"/>
          <w:szCs w:val="18"/>
        </w:rPr>
        <w:tab/>
      </w:r>
      <w:r>
        <w:rPr>
          <w:sz w:val="18"/>
          <w:szCs w:val="18"/>
        </w:rPr>
        <w:fldChar w:fldCharType="begin" w:fldLock="1"/>
      </w:r>
      <w:r>
        <w:rPr>
          <w:sz w:val="18"/>
          <w:szCs w:val="18"/>
        </w:rPr>
        <w:instrText xml:space="preserve"> PAGEREF _Toc21524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_Toc10350 </w:instrText>
      </w:r>
      <w:r>
        <w:rPr>
          <w:rFonts w:hint="default"/>
          <w:sz w:val="18"/>
          <w:szCs w:val="18"/>
          <w:lang w:val="en-US" w:eastAsia="zh-CN"/>
        </w:rPr>
        <w:fldChar w:fldCharType="separate"/>
      </w:r>
      <w:r>
        <w:rPr>
          <w:rFonts w:hint="eastAsia"/>
          <w:sz w:val="18"/>
          <w:szCs w:val="18"/>
          <w:lang w:val="en-US" w:eastAsia="zh-CN"/>
        </w:rPr>
        <w:t>6.2资金保障</w:t>
      </w:r>
      <w:r>
        <w:rPr>
          <w:sz w:val="18"/>
          <w:szCs w:val="18"/>
        </w:rPr>
        <w:tab/>
      </w:r>
      <w:r>
        <w:rPr>
          <w:sz w:val="18"/>
          <w:szCs w:val="18"/>
        </w:rPr>
        <w:fldChar w:fldCharType="begin" w:fldLock="1"/>
      </w:r>
      <w:r>
        <w:rPr>
          <w:sz w:val="18"/>
          <w:szCs w:val="18"/>
        </w:rPr>
        <w:instrText xml:space="preserve"> PAGEREF _Toc10350 \h </w:instrText>
      </w:r>
      <w:r>
        <w:rPr>
          <w:sz w:val="18"/>
          <w:szCs w:val="18"/>
        </w:rPr>
        <w:fldChar w:fldCharType="separate"/>
      </w:r>
      <w:r>
        <w:rPr>
          <w:sz w:val="18"/>
          <w:szCs w:val="18"/>
        </w:rPr>
        <w:t>21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_Toc12395 </w:instrText>
      </w:r>
      <w:r>
        <w:rPr>
          <w:rFonts w:hint="default"/>
          <w:sz w:val="18"/>
          <w:szCs w:val="18"/>
          <w:lang w:val="en-US" w:eastAsia="zh-CN"/>
        </w:rPr>
        <w:fldChar w:fldCharType="separate"/>
      </w:r>
      <w:r>
        <w:rPr>
          <w:rFonts w:hint="eastAsia"/>
          <w:sz w:val="18"/>
          <w:szCs w:val="18"/>
          <w:lang w:val="en-US" w:eastAsia="zh-CN"/>
        </w:rPr>
        <w:t>6.3避难场所保障</w:t>
      </w:r>
      <w:r>
        <w:rPr>
          <w:sz w:val="18"/>
          <w:szCs w:val="18"/>
        </w:rPr>
        <w:tab/>
      </w:r>
      <w:r>
        <w:rPr>
          <w:sz w:val="18"/>
          <w:szCs w:val="18"/>
        </w:rPr>
        <w:fldChar w:fldCharType="begin" w:fldLock="1"/>
      </w:r>
      <w:r>
        <w:rPr>
          <w:sz w:val="18"/>
          <w:szCs w:val="18"/>
        </w:rPr>
        <w:instrText xml:space="preserve"> PAGEREF _Toc12395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_Toc20676 </w:instrText>
      </w:r>
      <w:r>
        <w:rPr>
          <w:rFonts w:hint="default"/>
          <w:sz w:val="18"/>
          <w:szCs w:val="18"/>
          <w:lang w:val="en-US" w:eastAsia="zh-CN"/>
        </w:rPr>
        <w:fldChar w:fldCharType="separate"/>
      </w:r>
      <w:r>
        <w:rPr>
          <w:rFonts w:hint="eastAsia"/>
          <w:sz w:val="18"/>
          <w:szCs w:val="18"/>
          <w:lang w:val="en-US" w:eastAsia="zh-CN"/>
        </w:rPr>
        <w:t>6.4技术保障</w:t>
      </w:r>
      <w:r>
        <w:rPr>
          <w:sz w:val="18"/>
          <w:szCs w:val="18"/>
        </w:rPr>
        <w:tab/>
      </w:r>
      <w:r>
        <w:rPr>
          <w:sz w:val="18"/>
          <w:szCs w:val="18"/>
        </w:rPr>
        <w:fldChar w:fldCharType="begin" w:fldLock="1"/>
      </w:r>
      <w:r>
        <w:rPr>
          <w:sz w:val="18"/>
          <w:szCs w:val="18"/>
        </w:rPr>
        <w:instrText xml:space="preserve"> PAGEREF _Toc20676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_Toc12413 </w:instrText>
      </w:r>
      <w:r>
        <w:rPr>
          <w:rFonts w:hint="default"/>
          <w:sz w:val="18"/>
          <w:szCs w:val="18"/>
          <w:lang w:val="en-US" w:eastAsia="zh-CN"/>
        </w:rPr>
        <w:fldChar w:fldCharType="separate"/>
      </w:r>
      <w:r>
        <w:rPr>
          <w:rFonts w:hint="eastAsia"/>
          <w:sz w:val="18"/>
          <w:szCs w:val="18"/>
          <w:lang w:val="en-US" w:eastAsia="zh-CN"/>
        </w:rPr>
        <w:t>6.5治安和交通运输保障</w:t>
      </w:r>
      <w:r>
        <w:rPr>
          <w:sz w:val="18"/>
          <w:szCs w:val="18"/>
        </w:rPr>
        <w:tab/>
      </w:r>
      <w:r>
        <w:rPr>
          <w:sz w:val="18"/>
          <w:szCs w:val="18"/>
        </w:rPr>
        <w:fldChar w:fldCharType="begin" w:fldLock="1"/>
      </w:r>
      <w:r>
        <w:rPr>
          <w:sz w:val="18"/>
          <w:szCs w:val="18"/>
        </w:rPr>
        <w:instrText xml:space="preserve"> PAGEREF _Toc12413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_Toc20982 </w:instrText>
      </w:r>
      <w:r>
        <w:rPr>
          <w:rFonts w:hint="default"/>
          <w:sz w:val="18"/>
          <w:szCs w:val="18"/>
          <w:lang w:val="en-US" w:eastAsia="zh-CN"/>
        </w:rPr>
        <w:fldChar w:fldCharType="separate"/>
      </w:r>
      <w:r>
        <w:rPr>
          <w:rFonts w:hint="eastAsia"/>
          <w:sz w:val="18"/>
          <w:szCs w:val="18"/>
          <w:lang w:val="en-US" w:eastAsia="zh-CN"/>
        </w:rPr>
        <w:t>6.6医疗卫生保障</w:t>
      </w:r>
      <w:r>
        <w:rPr>
          <w:sz w:val="18"/>
          <w:szCs w:val="18"/>
        </w:rPr>
        <w:tab/>
      </w:r>
      <w:r>
        <w:rPr>
          <w:sz w:val="18"/>
          <w:szCs w:val="18"/>
        </w:rPr>
        <w:fldChar w:fldCharType="begin" w:fldLock="1"/>
      </w:r>
      <w:r>
        <w:rPr>
          <w:sz w:val="18"/>
          <w:szCs w:val="18"/>
        </w:rPr>
        <w:instrText xml:space="preserve"> PAGEREF _Toc20982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_Toc25294 </w:instrText>
      </w:r>
      <w:r>
        <w:rPr>
          <w:rFonts w:hint="default"/>
          <w:sz w:val="18"/>
          <w:szCs w:val="18"/>
          <w:lang w:val="en-US" w:eastAsia="zh-CN"/>
        </w:rPr>
        <w:fldChar w:fldCharType="separate"/>
      </w:r>
      <w:r>
        <w:rPr>
          <w:rFonts w:hint="eastAsia"/>
          <w:sz w:val="18"/>
          <w:szCs w:val="18"/>
          <w:lang w:val="en-US" w:eastAsia="zh-CN"/>
        </w:rPr>
        <w:t>6.7社会动员保障</w:t>
      </w:r>
      <w:r>
        <w:rPr>
          <w:sz w:val="18"/>
          <w:szCs w:val="18"/>
        </w:rPr>
        <w:tab/>
      </w:r>
      <w:r>
        <w:rPr>
          <w:sz w:val="18"/>
          <w:szCs w:val="18"/>
        </w:rPr>
        <w:fldChar w:fldCharType="begin" w:fldLock="1"/>
      </w:r>
      <w:r>
        <w:rPr>
          <w:sz w:val="18"/>
          <w:szCs w:val="18"/>
        </w:rPr>
        <w:instrText xml:space="preserve"> PAGEREF _Toc25294 \h </w:instrText>
      </w:r>
      <w:r>
        <w:rPr>
          <w:sz w:val="18"/>
          <w:szCs w:val="18"/>
        </w:rPr>
        <w:fldChar w:fldCharType="separate"/>
      </w:r>
      <w:r>
        <w:rPr>
          <w:sz w:val="18"/>
          <w:szCs w:val="18"/>
        </w:rPr>
        <w:t>23</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_Toc27371 </w:instrText>
      </w:r>
      <w:r>
        <w:rPr>
          <w:rFonts w:hint="default"/>
          <w:sz w:val="18"/>
          <w:szCs w:val="18"/>
          <w:lang w:val="en-US" w:eastAsia="zh-CN"/>
        </w:rPr>
        <w:fldChar w:fldCharType="separate"/>
      </w:r>
      <w:r>
        <w:rPr>
          <w:rFonts w:hint="eastAsia"/>
          <w:sz w:val="18"/>
          <w:szCs w:val="18"/>
          <w:lang w:val="en-US" w:eastAsia="zh-CN"/>
        </w:rPr>
        <w:t>7附则</w:t>
      </w:r>
      <w:r>
        <w:rPr>
          <w:sz w:val="18"/>
          <w:szCs w:val="18"/>
        </w:rPr>
        <w:tab/>
      </w:r>
      <w:r>
        <w:rPr>
          <w:sz w:val="18"/>
          <w:szCs w:val="18"/>
        </w:rPr>
        <w:fldChar w:fldCharType="begin" w:fldLock="1"/>
      </w:r>
      <w:r>
        <w:rPr>
          <w:sz w:val="18"/>
          <w:szCs w:val="18"/>
        </w:rPr>
        <w:instrText xml:space="preserve"> PAGEREF _Toc27371 \h </w:instrText>
      </w:r>
      <w:r>
        <w:rPr>
          <w:sz w:val="18"/>
          <w:szCs w:val="18"/>
        </w:rPr>
        <w:fldChar w:fldCharType="separate"/>
      </w:r>
      <w:r>
        <w:rPr>
          <w:sz w:val="18"/>
          <w:szCs w:val="18"/>
        </w:rPr>
        <w:t>23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_Toc4950 </w:instrText>
      </w:r>
      <w:r>
        <w:rPr>
          <w:rFonts w:hint="default"/>
          <w:sz w:val="18"/>
          <w:szCs w:val="18"/>
          <w:lang w:val="en-US" w:eastAsia="zh-CN"/>
        </w:rPr>
        <w:fldChar w:fldCharType="separate"/>
      </w:r>
      <w:r>
        <w:rPr>
          <w:rFonts w:hint="eastAsia"/>
          <w:sz w:val="18"/>
          <w:szCs w:val="18"/>
          <w:lang w:val="en-US" w:eastAsia="zh-CN"/>
        </w:rPr>
        <w:t>7.1责任与奖惩</w:t>
      </w:r>
      <w:r>
        <w:rPr>
          <w:sz w:val="18"/>
          <w:szCs w:val="18"/>
        </w:rPr>
        <w:tab/>
      </w:r>
      <w:r>
        <w:rPr>
          <w:sz w:val="18"/>
          <w:szCs w:val="18"/>
        </w:rPr>
        <w:fldChar w:fldCharType="begin" w:fldLock="1"/>
      </w:r>
      <w:r>
        <w:rPr>
          <w:sz w:val="18"/>
          <w:szCs w:val="18"/>
        </w:rPr>
        <w:instrText xml:space="preserve"> PAGEREF _Toc4950 \h </w:instrText>
      </w:r>
      <w:r>
        <w:rPr>
          <w:sz w:val="18"/>
          <w:szCs w:val="18"/>
        </w:rPr>
        <w:fldChar w:fldCharType="separate"/>
      </w:r>
      <w:r>
        <w:rPr>
          <w:sz w:val="18"/>
          <w:szCs w:val="18"/>
        </w:rPr>
        <w:t>23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_Toc17855 </w:instrText>
      </w:r>
      <w:r>
        <w:rPr>
          <w:rFonts w:hint="default"/>
          <w:sz w:val="18"/>
          <w:szCs w:val="18"/>
          <w:lang w:val="en-US" w:eastAsia="zh-CN"/>
        </w:rPr>
        <w:fldChar w:fldCharType="separate"/>
      </w:r>
      <w:r>
        <w:rPr>
          <w:rFonts w:hint="eastAsia"/>
          <w:sz w:val="18"/>
          <w:szCs w:val="18"/>
          <w:lang w:val="en-US" w:eastAsia="zh-CN"/>
        </w:rPr>
        <w:t>7.2宣传教育</w:t>
      </w:r>
      <w:r>
        <w:rPr>
          <w:sz w:val="18"/>
          <w:szCs w:val="18"/>
        </w:rPr>
        <w:tab/>
      </w:r>
      <w:r>
        <w:rPr>
          <w:sz w:val="18"/>
          <w:szCs w:val="18"/>
        </w:rPr>
        <w:fldChar w:fldCharType="begin" w:fldLock="1"/>
      </w:r>
      <w:r>
        <w:rPr>
          <w:sz w:val="18"/>
          <w:szCs w:val="18"/>
        </w:rPr>
        <w:instrText xml:space="preserve"> PAGEREF _Toc17855 \h </w:instrText>
      </w:r>
      <w:r>
        <w:rPr>
          <w:sz w:val="18"/>
          <w:szCs w:val="18"/>
        </w:rPr>
        <w:fldChar w:fldCharType="separate"/>
      </w:r>
      <w:r>
        <w:rPr>
          <w:sz w:val="18"/>
          <w:szCs w:val="18"/>
        </w:rPr>
        <w:t>23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_Toc8637 </w:instrText>
      </w:r>
      <w:r>
        <w:rPr>
          <w:rFonts w:hint="default"/>
          <w:sz w:val="18"/>
          <w:szCs w:val="18"/>
          <w:lang w:val="en-US" w:eastAsia="zh-CN"/>
        </w:rPr>
        <w:fldChar w:fldCharType="separate"/>
      </w:r>
      <w:r>
        <w:rPr>
          <w:rFonts w:hint="eastAsia"/>
          <w:sz w:val="18"/>
          <w:szCs w:val="18"/>
          <w:lang w:val="en-US" w:eastAsia="zh-CN"/>
        </w:rPr>
        <w:t>7.3预案管理</w:t>
      </w:r>
      <w:r>
        <w:rPr>
          <w:sz w:val="18"/>
          <w:szCs w:val="18"/>
        </w:rPr>
        <w:tab/>
      </w:r>
      <w:r>
        <w:rPr>
          <w:sz w:val="18"/>
          <w:szCs w:val="18"/>
        </w:rPr>
        <w:fldChar w:fldCharType="begin" w:fldLock="1"/>
      </w:r>
      <w:r>
        <w:rPr>
          <w:sz w:val="18"/>
          <w:szCs w:val="18"/>
        </w:rPr>
        <w:instrText xml:space="preserve"> PAGEREF _Toc8637 \h </w:instrText>
      </w:r>
      <w:r>
        <w:rPr>
          <w:sz w:val="18"/>
          <w:szCs w:val="18"/>
        </w:rPr>
        <w:fldChar w:fldCharType="separate"/>
      </w:r>
      <w:r>
        <w:rPr>
          <w:sz w:val="18"/>
          <w:szCs w:val="18"/>
        </w:rPr>
        <w:t>24</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_Toc4489 </w:instrText>
      </w:r>
      <w:r>
        <w:rPr>
          <w:rFonts w:hint="default"/>
          <w:sz w:val="18"/>
          <w:szCs w:val="18"/>
          <w:lang w:val="en-US" w:eastAsia="zh-CN"/>
        </w:rPr>
        <w:fldChar w:fldCharType="separate"/>
      </w:r>
      <w:r>
        <w:rPr>
          <w:rFonts w:hint="eastAsia"/>
          <w:sz w:val="18"/>
          <w:szCs w:val="18"/>
          <w:lang w:val="en-US" w:eastAsia="zh-CN"/>
        </w:rPr>
        <w:t>7.4预案实施</w:t>
      </w:r>
      <w:r>
        <w:rPr>
          <w:sz w:val="18"/>
          <w:szCs w:val="18"/>
        </w:rPr>
        <w:tab/>
      </w:r>
      <w:r>
        <w:rPr>
          <w:sz w:val="18"/>
          <w:szCs w:val="18"/>
        </w:rPr>
        <w:fldChar w:fldCharType="begin" w:fldLock="1"/>
      </w:r>
      <w:r>
        <w:rPr>
          <w:sz w:val="18"/>
          <w:szCs w:val="18"/>
        </w:rPr>
        <w:instrText xml:space="preserve"> PAGEREF _Toc4489 \h </w:instrText>
      </w:r>
      <w:r>
        <w:rPr>
          <w:sz w:val="18"/>
          <w:szCs w:val="18"/>
        </w:rPr>
        <w:fldChar w:fldCharType="separate"/>
      </w:r>
      <w:r>
        <w:rPr>
          <w:sz w:val="18"/>
          <w:szCs w:val="18"/>
        </w:rPr>
        <w:t>24</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_Toc24194 </w:instrText>
      </w:r>
      <w:r>
        <w:rPr>
          <w:rFonts w:hint="default"/>
          <w:sz w:val="18"/>
          <w:szCs w:val="18"/>
          <w:lang w:val="en-US" w:eastAsia="zh-CN"/>
        </w:rPr>
        <w:fldChar w:fldCharType="separate"/>
      </w:r>
      <w:r>
        <w:rPr>
          <w:rFonts w:hint="eastAsia"/>
          <w:sz w:val="18"/>
          <w:szCs w:val="18"/>
          <w:lang w:val="en-US" w:eastAsia="zh-CN"/>
        </w:rPr>
        <w:t>附件</w:t>
      </w:r>
      <w:r>
        <w:rPr>
          <w:sz w:val="18"/>
          <w:szCs w:val="18"/>
        </w:rPr>
        <w:tab/>
      </w:r>
      <w:r>
        <w:rPr>
          <w:sz w:val="18"/>
          <w:szCs w:val="18"/>
        </w:rPr>
        <w:fldChar w:fldCharType="begin" w:fldLock="1"/>
      </w:r>
      <w:r>
        <w:rPr>
          <w:sz w:val="18"/>
          <w:szCs w:val="18"/>
        </w:rPr>
        <w:instrText xml:space="preserve"> PAGEREF _Toc24194 \h </w:instrText>
      </w:r>
      <w:r>
        <w:rPr>
          <w:sz w:val="18"/>
          <w:szCs w:val="18"/>
        </w:rPr>
        <w:fldChar w:fldCharType="separate"/>
      </w:r>
      <w:r>
        <w:rPr>
          <w:sz w:val="18"/>
          <w:szCs w:val="18"/>
        </w:rPr>
        <w:t>25</w:t>
      </w:r>
      <w:r>
        <w:rPr>
          <w:sz w:val="18"/>
          <w:szCs w:val="18"/>
        </w:rPr>
        <w:fldChar w:fldCharType="end"/>
      </w:r>
      <w:r>
        <w:rPr>
          <w:rFonts w:hint="default"/>
          <w:sz w:val="18"/>
          <w:szCs w:val="1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sz w:val="18"/>
          <w:szCs w:val="18"/>
          <w:lang w:val="en-US" w:eastAsia="zh-CN"/>
        </w:rPr>
        <w:fldChar w:fldCharType="end"/>
      </w:r>
    </w:p>
    <w:p>
      <w:pPr>
        <w:bidi w:val="0"/>
        <w:rPr>
          <w:rFonts w:hint="default"/>
          <w:lang w:val="en-US" w:eastAsia="zh-CN"/>
        </w:rPr>
      </w:pPr>
    </w:p>
    <w:p>
      <w:pPr>
        <w:bidi w:val="0"/>
        <w:rPr>
          <w:rFonts w:hint="default"/>
          <w:lang w:val="en-US" w:eastAsia="zh-CN"/>
        </w:rPr>
        <w:sectPr>
          <w:footerReference r:id="rId6" w:type="default"/>
          <w:pgSz w:w="11906" w:h="16838"/>
          <w:pgMar w:top="2041" w:right="1531" w:bottom="2041" w:left="1531" w:header="851" w:footer="992" w:gutter="0"/>
          <w:pgNumType w:fmt="decimal" w:start="1"/>
          <w:cols w:space="425" w:num="1"/>
          <w:docGrid w:type="lines" w:linePitch="312" w:charSpace="0"/>
        </w:sectPr>
      </w:pPr>
      <w:bookmarkStart w:id="108" w:name="_GoBack"/>
      <w:bookmarkEnd w:id="108"/>
    </w:p>
    <w:p>
      <w:pPr>
        <w:pStyle w:val="2"/>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bookmarkStart w:id="0" w:name="_Toc23933"/>
      <w:bookmarkStart w:id="1" w:name="_Toc4831"/>
      <w:r>
        <w:rPr>
          <w:rFonts w:hint="eastAsia" w:ascii="黑体" w:hAnsi="黑体" w:eastAsia="黑体" w:cs="黑体"/>
          <w:b w:val="0"/>
          <w:bCs w:val="0"/>
          <w:sz w:val="32"/>
          <w:szCs w:val="32"/>
          <w:lang w:val="en-US" w:eastAsia="zh-CN"/>
        </w:rPr>
        <w:t>1总则</w:t>
      </w:r>
      <w:bookmarkEnd w:id="0"/>
      <w:bookmarkEnd w:id="1"/>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 w:name="_Toc14029"/>
      <w:bookmarkStart w:id="3" w:name="_Toc10384"/>
      <w:r>
        <w:rPr>
          <w:rFonts w:hint="eastAsia" w:ascii="楷体_GB2312" w:hAnsi="楷体_GB2312" w:eastAsia="楷体_GB2312" w:cs="楷体_GB2312"/>
          <w:b w:val="0"/>
          <w:bCs w:val="0"/>
          <w:sz w:val="32"/>
          <w:szCs w:val="32"/>
          <w:lang w:val="en-US" w:eastAsia="zh-CN"/>
        </w:rPr>
        <w:t>1.1编制目的</w:t>
      </w:r>
      <w:bookmarkEnd w:id="2"/>
      <w:bookmarkEnd w:id="3"/>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为深入贯彻落实习近平总书记关于应急管理和防灾减灾救灾重要论述，坚持人民至上、生命至上，提高我县对危险化学品事故的应对能力，预防和控制次生、衍生灾害的发生，保障人民群众生命和财产安全，制定本预案。</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4" w:name="_Toc7311"/>
      <w:bookmarkStart w:id="5" w:name="_Toc17361"/>
      <w:r>
        <w:rPr>
          <w:rFonts w:hint="eastAsia" w:ascii="楷体_GB2312" w:hAnsi="楷体_GB2312" w:eastAsia="楷体_GB2312" w:cs="楷体_GB2312"/>
          <w:b w:val="0"/>
          <w:bCs w:val="0"/>
          <w:sz w:val="32"/>
          <w:szCs w:val="32"/>
          <w:lang w:val="en-US" w:eastAsia="zh-CN"/>
        </w:rPr>
        <w:t>1.2编制依据</w:t>
      </w:r>
      <w:bookmarkEnd w:id="4"/>
      <w:bookmarkEnd w:id="5"/>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依据《中华人民共和国安全生产法》《中华人民共和国突发事件应对法》《中华人民共和国消防法》《危险化学品安全管理条例》《生产安全事故报告和调查处理条例》《生产安全事故应急条例》《生产安全事故应急预案管理办法》《吉林省生产安全事故应急预案》《白城市生产安全事故应急预案》《通榆县突发事件总体应急预案》《通榆县生产安全事故应急预案》等法律、法规和文件。</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 w:name="_Toc16197"/>
      <w:bookmarkStart w:id="7" w:name="_Toc16742"/>
      <w:r>
        <w:rPr>
          <w:rFonts w:hint="eastAsia" w:ascii="楷体_GB2312" w:hAnsi="楷体_GB2312" w:eastAsia="楷体_GB2312" w:cs="楷体_GB2312"/>
          <w:b w:val="0"/>
          <w:bCs w:val="0"/>
          <w:color w:val="auto"/>
          <w:sz w:val="32"/>
          <w:szCs w:val="32"/>
          <w:lang w:val="en-US" w:eastAsia="zh-CN"/>
        </w:rPr>
        <w:t>1.3适用范围</w:t>
      </w:r>
      <w:bookmarkEnd w:id="6"/>
      <w:bookmarkEnd w:id="7"/>
    </w:p>
    <w:p>
      <w:pPr>
        <w:pageBreakBefore w:val="0"/>
        <w:kinsoku/>
        <w:wordWrap/>
        <w:overflowPunct/>
        <w:topLinePunct w:val="0"/>
        <w:autoSpaceDE/>
        <w:autoSpaceDN/>
        <w:bidi w:val="0"/>
        <w:adjustRightInd/>
        <w:snapToGrid/>
        <w:spacing w:line="578" w:lineRule="exact"/>
        <w:ind w:firstLine="640" w:firstLineChars="200"/>
        <w:textAlignment w:val="auto"/>
        <w:rPr>
          <w:rFonts w:hint="default"/>
          <w:color w:val="auto"/>
          <w:lang w:val="en-US" w:eastAsia="zh-CN"/>
        </w:rPr>
      </w:pPr>
      <w:r>
        <w:rPr>
          <w:rFonts w:hint="default"/>
          <w:color w:val="auto"/>
          <w:lang w:val="en-US" w:eastAsia="zh-CN"/>
        </w:rPr>
        <w:t>本预案适用于</w:t>
      </w:r>
      <w:r>
        <w:rPr>
          <w:rFonts w:hint="eastAsia"/>
          <w:color w:val="auto"/>
          <w:lang w:val="en-US" w:eastAsia="zh-CN"/>
        </w:rPr>
        <w:t>处置</w:t>
      </w:r>
      <w:r>
        <w:rPr>
          <w:rFonts w:hint="default"/>
          <w:color w:val="auto"/>
          <w:lang w:val="en-US" w:eastAsia="zh-CN"/>
        </w:rPr>
        <w:t>本县行政区域内</w:t>
      </w:r>
      <w:r>
        <w:rPr>
          <w:rFonts w:hint="eastAsia"/>
          <w:color w:val="auto"/>
          <w:lang w:val="en-US" w:eastAsia="zh-CN"/>
        </w:rPr>
        <w:t>在危险化学品生产、经营、储存、使用、运输以及废弃处置等过程中发生的火灾、爆炸、泄漏和中毒事故</w:t>
      </w:r>
      <w:r>
        <w:rPr>
          <w:rFonts w:hint="default"/>
          <w:color w:val="auto"/>
          <w:lang w:val="en-US" w:eastAsia="zh-CN"/>
        </w:rPr>
        <w:t>。</w:t>
      </w:r>
      <w:r>
        <w:rPr>
          <w:rFonts w:hint="eastAsia"/>
          <w:color w:val="auto"/>
          <w:lang w:val="en-US" w:eastAsia="zh-CN"/>
        </w:rPr>
        <w:t>县有关专项应急预案、部门应急预案对相关行业领域（如非煤矿山、烟花爆竹、道路运输、特种设备等）危险化学品事故应对工作另有规定的，从其规定。</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本预案所称危险化学品是指具有毒害、腐蚀、爆炸、燃烧、助燃等性质，对人体、设施、环境具有危害的剧毒化学品和其他化学品。</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 w:name="_Toc3833"/>
      <w:bookmarkStart w:id="9" w:name="_Toc32435"/>
      <w:r>
        <w:rPr>
          <w:rFonts w:hint="eastAsia" w:ascii="楷体_GB2312" w:hAnsi="楷体_GB2312" w:eastAsia="楷体_GB2312" w:cs="楷体_GB2312"/>
          <w:b w:val="0"/>
          <w:bCs w:val="0"/>
          <w:sz w:val="32"/>
          <w:szCs w:val="32"/>
          <w:lang w:val="en-US" w:eastAsia="zh-CN"/>
        </w:rPr>
        <w:t>1.4工作原则</w:t>
      </w:r>
      <w:bookmarkEnd w:id="8"/>
      <w:bookmarkEnd w:id="9"/>
    </w:p>
    <w:p>
      <w:pPr>
        <w:pageBreakBefore w:val="0"/>
        <w:kinsoku/>
        <w:wordWrap/>
        <w:overflowPunct/>
        <w:topLinePunct w:val="0"/>
        <w:autoSpaceDE/>
        <w:autoSpaceDN/>
        <w:bidi w:val="0"/>
        <w:adjustRightInd/>
        <w:snapToGrid/>
        <w:spacing w:line="578" w:lineRule="exact"/>
        <w:ind w:firstLine="640" w:firstLineChars="200"/>
        <w:textAlignment w:val="auto"/>
        <w:rPr>
          <w:rFonts w:hint="eastAsia"/>
          <w:b w:val="0"/>
          <w:bCs w:val="0"/>
          <w:lang w:val="en-US" w:eastAsia="zh-CN"/>
        </w:rPr>
      </w:pPr>
      <w:r>
        <w:rPr>
          <w:rFonts w:hint="eastAsia"/>
          <w:b w:val="0"/>
          <w:bCs w:val="0"/>
          <w:lang w:val="en-US" w:eastAsia="zh-CN"/>
        </w:rPr>
        <w:t>人民至上、生命至上。深入贯彻落实习近平总书记关于应急管理和防灾减灾救灾重要论述，坚持把保障人民群众生命财产安全作为首要任务，最大程度减轻危险化学品事故造成的危害。</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b w:val="0"/>
          <w:bCs w:val="0"/>
          <w:lang w:val="en-US" w:eastAsia="zh-CN"/>
        </w:rPr>
      </w:pPr>
      <w:r>
        <w:rPr>
          <w:rFonts w:hint="eastAsia"/>
          <w:b w:val="0"/>
          <w:bCs w:val="0"/>
          <w:lang w:val="en-US" w:eastAsia="zh-CN"/>
        </w:rPr>
        <w:t>安全第一、预防为主。贯彻落实安全第一、预防为主、综合治理的方针，加强预防、预测、预警和预报工作，做好常态下的应急准备工作，从源头上防范化解重大安全风险。</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b w:val="0"/>
          <w:bCs w:val="0"/>
          <w:lang w:val="en-US" w:eastAsia="zh-CN"/>
        </w:rPr>
        <w:t>统一领导、分级负责。在县委、县政府统一领导下，各乡镇政府（街道办事处）及县有关部</w:t>
      </w:r>
      <w:r>
        <w:rPr>
          <w:rFonts w:hint="eastAsia"/>
          <w:lang w:val="en-US" w:eastAsia="zh-CN"/>
        </w:rPr>
        <w:t>门、单位按照各自职责，负责相关危险化学品事故应急处置工作。危险化学品事故现场应急处置以事发地党委、政府为主，县有关部门与地方党委、政府密切配合，发挥指导和协调作用。</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科学决策、依法处置。充分发挥专家队伍和专业人员作用，强化科学决策，采用先进救援装备和技术，提高应急救援能力，依法规范应急救援处置工作。</w:t>
      </w:r>
      <w:bookmarkStart w:id="10" w:name="_Toc30372"/>
      <w:bookmarkStart w:id="11" w:name="_Toc7869"/>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1.5事故分级</w:t>
      </w:r>
      <w:bookmarkEnd w:id="10"/>
      <w:bookmarkEnd w:id="11"/>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危险化学品事故的等级按照造成的危害程度、波及范围、影响力大小、人员及财产损失等情况，分为特别重大、重大、较大、一般四个级别</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特别重大事故：是指造成30人以上死亡（含失踪），或者100人以上重伤（中毒），或者疏散转移10万人以上，或者直接经济损失在1亿元以上，或者造成特别重大社会影响的事故</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重大事故</w:t>
      </w:r>
      <w:r>
        <w:rPr>
          <w:rFonts w:hint="eastAsia"/>
          <w:lang w:val="en-US" w:eastAsia="zh-CN"/>
        </w:rPr>
        <w:t>：是指造成10人以上30人以下死亡（含失踪），或者50人以上100人以下重伤（中毒），或者疏散转移5万人以上10万人以下，或者直接经济损失在5000万元以上1亿元以下，或者造成重大社会影响的事故。</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较大事故：是指造成3人以上10人以下死亡（含失踪），或者10人以上50人以下重伤（中毒），或者疏散转移2万人以上5万人以下，或者直接经济损失在1000万元以上5000万元以下，或者造成较大社会影响的事故。</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一般事故：是指造成3人以下死亡（含失踪），或者10人以下重伤（中毒），或者疏散转移2万人以下，或者直接经济损失在1000万元以下，或者造成一定社会影响的事故。</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本预案有关数量的表述中，“以上”含本数，“以下”不含本数。</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特别重大、重大</w:t>
      </w:r>
      <w:r>
        <w:rPr>
          <w:rFonts w:hint="eastAsia"/>
          <w:lang w:val="en-US" w:eastAsia="zh-CN"/>
        </w:rPr>
        <w:t>危险化学品事故</w:t>
      </w:r>
      <w:r>
        <w:rPr>
          <w:rFonts w:hint="default"/>
          <w:lang w:val="en-US" w:eastAsia="zh-CN"/>
        </w:rPr>
        <w:t>由省牵头组织应对，较大危险化学品事故由市牵头组织应对，一般危险化学品事故由县牵头组织应对。</w:t>
      </w:r>
    </w:p>
    <w:p>
      <w:pPr>
        <w:pStyle w:val="2"/>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bookmarkStart w:id="12" w:name="_Toc2194"/>
      <w:bookmarkStart w:id="13" w:name="_Toc104"/>
      <w:r>
        <w:rPr>
          <w:rFonts w:hint="eastAsia" w:ascii="黑体" w:hAnsi="黑体" w:eastAsia="黑体" w:cs="黑体"/>
          <w:b w:val="0"/>
          <w:bCs w:val="0"/>
          <w:sz w:val="32"/>
          <w:szCs w:val="32"/>
          <w:lang w:val="en-US" w:eastAsia="zh-CN"/>
        </w:rPr>
        <w:t>2组织指挥机构及职责</w:t>
      </w:r>
      <w:bookmarkEnd w:id="12"/>
      <w:bookmarkEnd w:id="13"/>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4" w:name="_Toc19198"/>
      <w:bookmarkStart w:id="15" w:name="_Toc32363"/>
      <w:r>
        <w:rPr>
          <w:rFonts w:hint="eastAsia" w:ascii="楷体_GB2312" w:hAnsi="楷体_GB2312" w:eastAsia="楷体_GB2312" w:cs="楷体_GB2312"/>
          <w:b w:val="0"/>
          <w:bCs w:val="0"/>
          <w:sz w:val="32"/>
          <w:szCs w:val="32"/>
          <w:lang w:val="en-US" w:eastAsia="zh-CN"/>
        </w:rPr>
        <w:t>2.1县组织指挥机构及职责</w:t>
      </w:r>
      <w:bookmarkEnd w:id="14"/>
      <w:bookmarkEnd w:id="15"/>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16" w:name="_Toc29960"/>
      <w:bookmarkStart w:id="17" w:name="_Toc3909"/>
      <w:r>
        <w:rPr>
          <w:rFonts w:hint="eastAsia" w:ascii="仿宋_GB2312" w:hAnsi="仿宋_GB2312" w:eastAsia="仿宋_GB2312" w:cs="仿宋_GB2312"/>
          <w:b w:val="0"/>
          <w:bCs w:val="0"/>
          <w:sz w:val="32"/>
          <w:szCs w:val="32"/>
          <w:lang w:val="en-US" w:eastAsia="zh-CN"/>
        </w:rPr>
        <w:t>2.1.1县生产安全事故应急指挥部及职责</w:t>
      </w:r>
      <w:bookmarkEnd w:id="16"/>
      <w:bookmarkEnd w:id="17"/>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w:t>
      </w:r>
      <w:r>
        <w:rPr>
          <w:rFonts w:hint="default"/>
          <w:lang w:val="en-US" w:eastAsia="zh-CN"/>
        </w:rPr>
        <w:t>安全生产委员会（以下简称县安委会）研究部署、指导、协调全县安全生产工作。发生</w:t>
      </w:r>
      <w:r>
        <w:rPr>
          <w:rFonts w:hint="eastAsia"/>
          <w:lang w:val="en-US" w:eastAsia="zh-CN"/>
        </w:rPr>
        <w:t>一般及以上级别</w:t>
      </w:r>
      <w:r>
        <w:rPr>
          <w:rFonts w:hint="default"/>
          <w:lang w:val="en-US" w:eastAsia="zh-CN"/>
        </w:rPr>
        <w:t>危险化学品事故后，县安委会转换为县生产安全事故应急指挥部（以下简称县指挥部），负责组织指挥、指导、协调全县危险化学品事故应急工作。县指挥部</w:t>
      </w:r>
      <w:r>
        <w:rPr>
          <w:rFonts w:hint="eastAsia"/>
          <w:lang w:val="en-US" w:eastAsia="zh-CN"/>
        </w:rPr>
        <w:t>总指挥</w:t>
      </w:r>
      <w:r>
        <w:rPr>
          <w:rFonts w:hint="default"/>
          <w:lang w:val="en-US" w:eastAsia="zh-CN"/>
        </w:rPr>
        <w:t>按照危险化学品事故所属行业领域类别，由相关分管副县长担任，必要时由县安委会主任担任，副总指挥由县安委会相关副主任担任，成员单位与</w:t>
      </w:r>
      <w:r>
        <w:rPr>
          <w:rFonts w:hint="eastAsia"/>
          <w:lang w:val="en-US" w:eastAsia="zh-CN"/>
        </w:rPr>
        <w:t>县</w:t>
      </w:r>
      <w:r>
        <w:rPr>
          <w:rFonts w:hint="default"/>
          <w:lang w:val="en-US" w:eastAsia="zh-CN"/>
        </w:rPr>
        <w:t>安委会成员单位相同。可根据应对危险化学品事故实际需要，增加或减少县指挥部成员单位。</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指挥部主要职责：贯彻落实党中央、国务院、省委、省政府、市委、市政府和县委、县政府关于危险化学品事故应对工作的重要指示、决定；组织指挥、指导、协调一般危险化学品事故应对工作；组织特别重大、重大、较大危险化学品事故先期处置工作；决定启动和终止相应级别应急响应；组织做好危险化学品事故信息发布工作；向白城市或相关县提出应急支援请求，必要时协调解放军和武警部队参加应急救援工作；研究决定应对工作中的其他重大问题。</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w:t>
      </w:r>
      <w:r>
        <w:rPr>
          <w:rFonts w:hint="default"/>
          <w:lang w:val="en-US" w:eastAsia="zh-CN"/>
        </w:rPr>
        <w:t>指挥部根据需要，可设立综合协调、抢险救援、医疗救治与疾病控制、物资保障、</w:t>
      </w:r>
      <w:r>
        <w:rPr>
          <w:rFonts w:hint="eastAsia"/>
          <w:lang w:val="en-US" w:eastAsia="zh-CN"/>
        </w:rPr>
        <w:t>环境保护、</w:t>
      </w:r>
      <w:r>
        <w:rPr>
          <w:rFonts w:hint="default"/>
          <w:lang w:val="en-US" w:eastAsia="zh-CN"/>
        </w:rPr>
        <w:t>通信保障、交通保障、群众救助、社会稳定、宣传舆情、法制保障、专家支持</w:t>
      </w:r>
      <w:r>
        <w:rPr>
          <w:rFonts w:hint="eastAsia"/>
          <w:lang w:val="en-US" w:eastAsia="zh-CN"/>
        </w:rPr>
        <w:t>、外事协调</w:t>
      </w:r>
      <w:r>
        <w:rPr>
          <w:rFonts w:hint="default"/>
          <w:lang w:val="en-US" w:eastAsia="zh-CN"/>
        </w:rPr>
        <w:t>等工作组。工作组设置可以根据应对危险化学品事故具体情况作出调整，各工作组参加单位可根据事故应对需要进行明确并及时调整。各工作组牵头部门与主要工作职责如下：</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综合协调组：由县应急管理局牵头，主要负责传达</w:t>
      </w:r>
      <w:r>
        <w:rPr>
          <w:rFonts w:hint="eastAsia"/>
          <w:lang w:val="en-US" w:eastAsia="zh-CN"/>
        </w:rPr>
        <w:t>县</w:t>
      </w:r>
      <w:r>
        <w:rPr>
          <w:rFonts w:hint="default"/>
          <w:lang w:val="en-US" w:eastAsia="zh-CN"/>
        </w:rPr>
        <w:t>指挥部重要指示，做好信息汇总、信息报告通报、综合协调、调度落实等工作。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抢险救援组：由</w:t>
      </w:r>
      <w:r>
        <w:rPr>
          <w:rFonts w:hint="eastAsia"/>
          <w:lang w:val="en-US" w:eastAsia="zh-CN"/>
        </w:rPr>
        <w:t>县应急管理局</w:t>
      </w:r>
      <w:r>
        <w:rPr>
          <w:rFonts w:hint="default"/>
          <w:lang w:val="en-US" w:eastAsia="zh-CN"/>
        </w:rPr>
        <w:t>牵头，主要负责制定抢险救援方案，组织救援队伍和力量开展抢险救援。</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医疗救治与疾病控制组：由</w:t>
      </w:r>
      <w:r>
        <w:rPr>
          <w:rFonts w:hint="eastAsia"/>
          <w:lang w:val="en-US" w:eastAsia="zh-CN"/>
        </w:rPr>
        <w:t>县</w:t>
      </w:r>
      <w:r>
        <w:rPr>
          <w:rFonts w:hint="default"/>
          <w:lang w:val="en-US" w:eastAsia="zh-CN"/>
        </w:rPr>
        <w:t>卫生健康</w:t>
      </w:r>
      <w:r>
        <w:rPr>
          <w:rFonts w:hint="eastAsia"/>
          <w:lang w:val="en-US" w:eastAsia="zh-CN"/>
        </w:rPr>
        <w:t>局</w:t>
      </w:r>
      <w:r>
        <w:rPr>
          <w:rFonts w:hint="default"/>
          <w:lang w:val="en-US" w:eastAsia="zh-CN"/>
        </w:rPr>
        <w:t>牵头，主要负责做好医疗救治、灾区疾病控制和医疗保障等工作。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物资保障组：县应急管理局与县工业和信息化局牵头，县应急管理局负责做好危险化学品事故应急物资保障工作，县工业和信息化局负责应急物资</w:t>
      </w:r>
      <w:r>
        <w:rPr>
          <w:rFonts w:hint="eastAsia"/>
          <w:lang w:val="en-US" w:eastAsia="zh-CN"/>
        </w:rPr>
        <w:t>县</w:t>
      </w:r>
      <w:r>
        <w:rPr>
          <w:rFonts w:hint="default"/>
          <w:lang w:val="en-US" w:eastAsia="zh-CN"/>
        </w:rPr>
        <w:t>内生产组织和</w:t>
      </w:r>
      <w:r>
        <w:rPr>
          <w:rFonts w:hint="eastAsia"/>
          <w:lang w:val="en-US" w:eastAsia="zh-CN"/>
        </w:rPr>
        <w:t>县</w:t>
      </w:r>
      <w:r>
        <w:rPr>
          <w:rFonts w:hint="default"/>
          <w:lang w:val="en-US" w:eastAsia="zh-CN"/>
        </w:rPr>
        <w:t>外协调。</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环境保护</w:t>
      </w:r>
      <w:r>
        <w:rPr>
          <w:rFonts w:hint="eastAsia"/>
          <w:lang w:val="en-US" w:eastAsia="zh-CN"/>
        </w:rPr>
        <w:t>组：由白城市生态环境局通榆县分局牵头，主要负责对事故现场周边环境的实时监测，分析并提供监测数据；协助有关部门实施污染处置；监督事故中产生的危险废物无害化处置。</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通信保障组：由</w:t>
      </w:r>
      <w:r>
        <w:rPr>
          <w:rFonts w:hint="eastAsia"/>
          <w:lang w:val="en-US" w:eastAsia="zh-CN"/>
        </w:rPr>
        <w:t>县工业和信息化局</w:t>
      </w:r>
      <w:r>
        <w:rPr>
          <w:rFonts w:hint="default"/>
          <w:lang w:val="en-US" w:eastAsia="zh-CN"/>
        </w:rPr>
        <w:t>牵头，主要负责协调做好受损通信网络恢复、应急通信保障等工作。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交通运输保障组：由</w:t>
      </w:r>
      <w:r>
        <w:rPr>
          <w:rFonts w:hint="eastAsia"/>
          <w:lang w:val="en-US" w:eastAsia="zh-CN"/>
        </w:rPr>
        <w:t>县交通运输局</w:t>
      </w:r>
      <w:r>
        <w:rPr>
          <w:rFonts w:hint="default"/>
          <w:lang w:val="en-US" w:eastAsia="zh-CN"/>
        </w:rPr>
        <w:t>牵头，主要负责损毁公路抢修、应急运力保障等工作。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群众救助组：由县应急管理局牵头，主要负责指导属地做好受影响群众基本生活救助等工作。</w:t>
      </w:r>
      <w:r>
        <w:rPr>
          <w:rFonts w:hint="eastAsia"/>
          <w:lang w:val="en-US" w:eastAsia="zh-CN"/>
        </w:rPr>
        <w:t>县商务局</w:t>
      </w:r>
      <w:r>
        <w:rPr>
          <w:rFonts w:hint="default"/>
          <w:lang w:val="en-US" w:eastAsia="zh-CN"/>
        </w:rPr>
        <w:t>、</w:t>
      </w:r>
      <w:r>
        <w:rPr>
          <w:rFonts w:hint="eastAsia"/>
          <w:lang w:val="en-US" w:eastAsia="zh-CN"/>
        </w:rPr>
        <w:t>县</w:t>
      </w:r>
      <w:r>
        <w:rPr>
          <w:rFonts w:hint="default"/>
          <w:lang w:val="en-US" w:eastAsia="zh-CN"/>
        </w:rPr>
        <w:t>市场监管</w:t>
      </w:r>
      <w:r>
        <w:rPr>
          <w:rFonts w:hint="eastAsia"/>
          <w:lang w:val="en-US" w:eastAsia="zh-CN"/>
        </w:rPr>
        <w:t>管理局</w:t>
      </w:r>
      <w:r>
        <w:rPr>
          <w:rFonts w:hint="default"/>
          <w:lang w:val="en-US" w:eastAsia="zh-CN"/>
        </w:rPr>
        <w:t>负责生活必需品市场保障供应等工作。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社会稳定组：由</w:t>
      </w:r>
      <w:r>
        <w:rPr>
          <w:rFonts w:hint="eastAsia"/>
          <w:lang w:val="en-US" w:eastAsia="zh-CN"/>
        </w:rPr>
        <w:t>县公安局</w:t>
      </w:r>
      <w:r>
        <w:rPr>
          <w:rFonts w:hint="default"/>
          <w:lang w:val="en-US" w:eastAsia="zh-CN"/>
        </w:rPr>
        <w:t>牵头，主要负责做好事发地安全保卫和社会治安管理，查处打击违法犯罪活动，维护社会稳定。</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宣传舆情组：由县委宣传部牵头，主要负责协调做好突发事件信息发布、宣传报道、舆情引导等工作。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法制保障组：由</w:t>
      </w:r>
      <w:r>
        <w:rPr>
          <w:rFonts w:hint="eastAsia"/>
          <w:lang w:val="en-US" w:eastAsia="zh-CN"/>
        </w:rPr>
        <w:t>县</w:t>
      </w:r>
      <w:r>
        <w:rPr>
          <w:rFonts w:hint="default"/>
          <w:lang w:val="en-US" w:eastAsia="zh-CN"/>
        </w:rPr>
        <w:t>司法</w:t>
      </w:r>
      <w:r>
        <w:rPr>
          <w:rFonts w:hint="eastAsia"/>
          <w:lang w:val="en-US" w:eastAsia="zh-CN"/>
        </w:rPr>
        <w:t>局</w:t>
      </w:r>
      <w:r>
        <w:rPr>
          <w:rFonts w:hint="default"/>
          <w:lang w:val="en-US" w:eastAsia="zh-CN"/>
        </w:rPr>
        <w:t>牵头，主要负责协调做好应急处置、管控措施的法律服务保障工作。</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专家支持组：由县应急管理局牵头，组织有关专家负责为应急决策和抢险救援提供方案和智力支持。</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外事协调</w:t>
      </w:r>
      <w:r>
        <w:rPr>
          <w:rFonts w:hint="eastAsia"/>
          <w:lang w:val="en-US" w:eastAsia="zh-CN"/>
        </w:rPr>
        <w:t>组：由通榆县人民政府办公室牵头，负责应急响应有关涉外工作的协调落实</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根据需要，</w:t>
      </w:r>
      <w:r>
        <w:rPr>
          <w:rFonts w:hint="eastAsia"/>
          <w:lang w:val="en-US" w:eastAsia="zh-CN"/>
        </w:rPr>
        <w:t>县</w:t>
      </w:r>
      <w:r>
        <w:rPr>
          <w:rFonts w:hint="default"/>
          <w:lang w:val="en-US" w:eastAsia="zh-CN"/>
        </w:rPr>
        <w:t>指挥部可设立县现场指挥部，组织、指挥、协调危险化学品事故现场应急处置工作；或派出工作指导组，指导属地做好危险化学品事故应对处置工作。</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18" w:name="_Toc21817"/>
      <w:bookmarkStart w:id="19" w:name="_Toc8243"/>
      <w:r>
        <w:rPr>
          <w:rFonts w:hint="eastAsia" w:ascii="仿宋_GB2312" w:hAnsi="仿宋_GB2312" w:eastAsia="仿宋_GB2312" w:cs="仿宋_GB2312"/>
          <w:b w:val="0"/>
          <w:bCs w:val="0"/>
          <w:sz w:val="32"/>
          <w:szCs w:val="32"/>
          <w:lang w:val="en-US" w:eastAsia="zh-CN"/>
        </w:rPr>
        <w:t>2.1.2县指挥部办公室及职责</w:t>
      </w:r>
      <w:bookmarkEnd w:id="18"/>
      <w:bookmarkEnd w:id="19"/>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w:t>
      </w:r>
      <w:r>
        <w:rPr>
          <w:rFonts w:hint="default"/>
          <w:lang w:val="en-US" w:eastAsia="zh-CN"/>
        </w:rPr>
        <w:t>指挥部下设办公室，承担危险化学品事故应急综合协调工作。办公室设在</w:t>
      </w:r>
      <w:r>
        <w:rPr>
          <w:rFonts w:hint="eastAsia"/>
          <w:lang w:val="en-US" w:eastAsia="zh-CN"/>
        </w:rPr>
        <w:t>县应急管理局</w:t>
      </w:r>
      <w:r>
        <w:rPr>
          <w:rFonts w:hint="default"/>
          <w:lang w:val="en-US" w:eastAsia="zh-CN"/>
        </w:rPr>
        <w:t>，办公室主任由县应急管理局主要负责人兼任，副主任由分管负责人兼任。</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w:t>
      </w:r>
      <w:r>
        <w:rPr>
          <w:rFonts w:hint="default"/>
          <w:lang w:val="en-US" w:eastAsia="zh-CN"/>
        </w:rPr>
        <w:t>指挥部办公室主要职责：主要承担指挥部综合协调和运转枢纽工作。贯彻落实</w:t>
      </w:r>
      <w:r>
        <w:rPr>
          <w:rFonts w:hint="eastAsia"/>
          <w:lang w:val="en-US" w:eastAsia="zh-CN"/>
        </w:rPr>
        <w:t>县</w:t>
      </w:r>
      <w:r>
        <w:rPr>
          <w:rFonts w:hint="default"/>
          <w:lang w:val="en-US" w:eastAsia="zh-CN"/>
        </w:rPr>
        <w:t>指挥部决策部署和工作要求；组织、协调县指挥部成员单位加强应急联动和协调配合，共同做好应急处置与救援；召集县指挥部有关会议，起草与办理文件；做好有关信息传达、收集、分析、报送、发布工作；加强应急救援专家服务和管理；做好文书资料整理与归档等工作；完成县指挥部交办的其他任务。</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20" w:name="_Toc26283"/>
      <w:bookmarkStart w:id="21" w:name="_Toc4840"/>
      <w:r>
        <w:rPr>
          <w:rFonts w:hint="eastAsia" w:ascii="仿宋_GB2312" w:hAnsi="仿宋_GB2312" w:eastAsia="仿宋_GB2312" w:cs="仿宋_GB2312"/>
          <w:b w:val="0"/>
          <w:bCs w:val="0"/>
          <w:sz w:val="32"/>
          <w:szCs w:val="32"/>
          <w:lang w:val="en-US" w:eastAsia="zh-CN"/>
        </w:rPr>
        <w:t>2.1.3县指挥部成员单位及职责</w:t>
      </w:r>
      <w:bookmarkEnd w:id="20"/>
      <w:bookmarkEnd w:id="21"/>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在</w:t>
      </w:r>
      <w:r>
        <w:rPr>
          <w:rFonts w:hint="eastAsia"/>
          <w:lang w:val="en-US" w:eastAsia="zh-CN"/>
        </w:rPr>
        <w:t>县</w:t>
      </w:r>
      <w:r>
        <w:rPr>
          <w:rFonts w:hint="default"/>
          <w:lang w:val="en-US" w:eastAsia="zh-CN"/>
        </w:rPr>
        <w:t>指挥部的统一组织下，有关成员单位根据各自职责，做好危险化学品事故应对工作。县指挥部成员单位可根据应对危险化学品事故实际需要增加或减少。县指挥部成员单位职责分工见附件。</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2" w:name="_Toc30070"/>
      <w:bookmarkStart w:id="23" w:name="_Toc14974"/>
      <w:r>
        <w:rPr>
          <w:rFonts w:hint="eastAsia" w:ascii="楷体_GB2312" w:hAnsi="楷体_GB2312" w:eastAsia="楷体_GB2312" w:cs="楷体_GB2312"/>
          <w:b w:val="0"/>
          <w:bCs w:val="0"/>
          <w:sz w:val="32"/>
          <w:szCs w:val="32"/>
          <w:lang w:val="en-US" w:eastAsia="zh-CN"/>
        </w:rPr>
        <w:t>2.2县以下组织指挥机构</w:t>
      </w:r>
      <w:bookmarkEnd w:id="22"/>
      <w:bookmarkEnd w:id="2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各乡镇政府（街道办事处）协助</w:t>
      </w:r>
      <w:r>
        <w:rPr>
          <w:rFonts w:hint="eastAsia"/>
          <w:lang w:val="en-US" w:eastAsia="zh-CN"/>
        </w:rPr>
        <w:t>县</w:t>
      </w:r>
      <w:r>
        <w:rPr>
          <w:rFonts w:hint="default"/>
          <w:lang w:val="en-US" w:eastAsia="zh-CN"/>
        </w:rPr>
        <w:t>有关部门依法履行危险化学品事故应急工作职责。</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村（社区）协助做好本辖区危险化学品事故应急处置相关工作。</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4" w:name="_Toc13341"/>
      <w:bookmarkStart w:id="25" w:name="_Toc13323"/>
      <w:r>
        <w:rPr>
          <w:rFonts w:hint="eastAsia" w:ascii="楷体_GB2312" w:hAnsi="楷体_GB2312" w:eastAsia="楷体_GB2312" w:cs="楷体_GB2312"/>
          <w:b w:val="0"/>
          <w:bCs w:val="0"/>
          <w:sz w:val="32"/>
          <w:szCs w:val="32"/>
          <w:lang w:val="en-US" w:eastAsia="zh-CN"/>
        </w:rPr>
        <w:t>2.3现场指挥机构</w:t>
      </w:r>
      <w:bookmarkEnd w:id="24"/>
      <w:bookmarkEnd w:id="25"/>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一般危险化学品事故发生后，县指挥部根据事故应对处置需要，视情设立现场指挥部。</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现场指挥部实行总指挥负责制，按照县指挥部的授权组织制定并实施危险化学品事故现场应急救援方案，协调、指挥有关单位和个人参加现场应急救援。及时报告应急处置和救援进展情况，根据事故现场情况提出处置建议和支援请求。参加危险化学品事故现场应急救援的单位和个人应当服从现场指挥部的统一指挥。</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省、市现场指挥部设立后，县现场指挥部在省、市现场指挥部统一指挥下开展工作。县现场指挥部设立后，如果先期县指挥部派出县工作指导组，则县工作指导组并入县现场指挥部。</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6" w:name="_Toc26659"/>
      <w:bookmarkStart w:id="27" w:name="_Toc22975"/>
      <w:r>
        <w:rPr>
          <w:rFonts w:hint="eastAsia" w:ascii="楷体_GB2312" w:hAnsi="楷体_GB2312" w:eastAsia="楷体_GB2312" w:cs="楷体_GB2312"/>
          <w:b w:val="0"/>
          <w:bCs w:val="0"/>
          <w:sz w:val="32"/>
          <w:szCs w:val="32"/>
          <w:lang w:val="en-US" w:eastAsia="zh-CN"/>
        </w:rPr>
        <w:t>2.4专家组</w:t>
      </w:r>
      <w:bookmarkEnd w:id="26"/>
      <w:bookmarkEnd w:id="27"/>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县应急局会同县相关行业主管部门建立安全生产专家组，为危险化学品事故应急工作提供技术支持。</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8" w:name="_Toc7178"/>
      <w:bookmarkStart w:id="29" w:name="_Toc21650"/>
      <w:r>
        <w:rPr>
          <w:rFonts w:hint="eastAsia" w:ascii="楷体_GB2312" w:hAnsi="楷体_GB2312" w:eastAsia="楷体_GB2312" w:cs="楷体_GB2312"/>
          <w:b w:val="0"/>
          <w:bCs w:val="0"/>
          <w:sz w:val="32"/>
          <w:szCs w:val="32"/>
          <w:lang w:val="en-US" w:eastAsia="zh-CN"/>
        </w:rPr>
        <w:t>2.5</w:t>
      </w:r>
      <w:bookmarkEnd w:id="28"/>
      <w:r>
        <w:rPr>
          <w:rFonts w:hint="eastAsia" w:ascii="楷体_GB2312" w:hAnsi="楷体_GB2312" w:eastAsia="楷体_GB2312" w:cs="楷体_GB2312"/>
          <w:b w:val="0"/>
          <w:bCs w:val="0"/>
          <w:sz w:val="32"/>
          <w:szCs w:val="32"/>
          <w:lang w:val="en-US" w:eastAsia="zh-CN"/>
        </w:rPr>
        <w:t>危险化学品单位</w:t>
      </w:r>
      <w:bookmarkEnd w:id="29"/>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危险化学品生产、经营、储存、使用、运输以及废弃处置</w:t>
      </w:r>
      <w:r>
        <w:rPr>
          <w:rFonts w:hint="eastAsia"/>
          <w:lang w:val="en-US" w:eastAsia="zh-CN"/>
        </w:rPr>
        <w:t>单位（以下简称危险化学品单位）</w:t>
      </w:r>
      <w:r>
        <w:rPr>
          <w:rFonts w:hint="default"/>
          <w:lang w:val="en-US" w:eastAsia="zh-CN"/>
        </w:rPr>
        <w:t>应当具备法律、行政法规规定和国家标准、行业标准要求的安全条件，制定本单位危险化学品事故应急预案，配备应急救援人员和必要的应急救援器材、设备，并定期组织应急救援演练。发生危险化学品事故，事故单位主要负责人应当立即按照本单位危险化学品</w:t>
      </w:r>
      <w:r>
        <w:rPr>
          <w:rFonts w:hint="eastAsia"/>
          <w:lang w:val="en-US" w:eastAsia="zh-CN"/>
        </w:rPr>
        <w:t>事故</w:t>
      </w:r>
      <w:r>
        <w:rPr>
          <w:rFonts w:hint="default"/>
          <w:lang w:val="en-US" w:eastAsia="zh-CN"/>
        </w:rPr>
        <w:t>应急预案组织救援，并配合做好危险化学品事故应急救援、善后和事故调查工作。</w:t>
      </w:r>
      <w:bookmarkStart w:id="30" w:name="_Toc29639"/>
      <w:bookmarkStart w:id="31" w:name="_Toc29779"/>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3预防预警机制</w:t>
      </w:r>
      <w:bookmarkEnd w:id="30"/>
      <w:bookmarkEnd w:id="31"/>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32" w:name="_Toc10325"/>
      <w:bookmarkStart w:id="33" w:name="_Toc10276"/>
      <w:r>
        <w:rPr>
          <w:rFonts w:hint="eastAsia" w:ascii="楷体_GB2312" w:hAnsi="楷体_GB2312" w:eastAsia="楷体_GB2312" w:cs="楷体_GB2312"/>
          <w:b w:val="0"/>
          <w:bCs w:val="0"/>
          <w:sz w:val="32"/>
          <w:szCs w:val="32"/>
          <w:lang w:val="en-US" w:eastAsia="zh-CN"/>
        </w:rPr>
        <w:t>3.1安全风险管控</w:t>
      </w:r>
      <w:bookmarkEnd w:id="32"/>
      <w:bookmarkEnd w:id="33"/>
    </w:p>
    <w:p>
      <w:pPr>
        <w:pageBreakBefore w:val="0"/>
        <w:kinsoku/>
        <w:wordWrap/>
        <w:overflowPunct/>
        <w:topLinePunct w:val="0"/>
        <w:autoSpaceDE/>
        <w:autoSpaceDN/>
        <w:bidi w:val="0"/>
        <w:adjustRightInd/>
        <w:snapToGrid/>
        <w:spacing w:line="578" w:lineRule="exact"/>
        <w:ind w:firstLine="640" w:firstLineChars="200"/>
        <w:textAlignment w:val="auto"/>
      </w:pPr>
      <w:r>
        <w:rPr>
          <w:rFonts w:hint="default"/>
          <w:lang w:val="en-US" w:eastAsia="zh-CN"/>
        </w:rPr>
        <w:t>危险化学品单位应当针对本单位可能发生的危险化学品事故的特点和危害，进行风险辨识和评估。加强重大危险源登记建档和监测监控工作，强化对存在重大安全风险的生产经营系统、装置和岗位的重点管控。</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县政府及</w:t>
      </w:r>
      <w:r>
        <w:rPr>
          <w:rFonts w:hint="eastAsia" w:eastAsia="宋体"/>
          <w:lang w:val="en-US" w:eastAsia="zh-CN"/>
        </w:rPr>
        <w:t>对危险化学品的生产、储存、使用、经营、运输实施安全监督管理的有关部门</w:t>
      </w:r>
      <w:r>
        <w:rPr>
          <w:rFonts w:hint="eastAsia"/>
          <w:lang w:val="en-US" w:eastAsia="zh-CN"/>
        </w:rPr>
        <w:t>（以下统称负有危险化学品安全监督管理职责的部门）要持续推进安全生产风险管控制度化、规范化，建立健全重大危险源信息管理体系，落实监管责任，定期对重大风险进行分析、评估，督促危险化学品单位落实安全生产主体责任，采取安全防范措施，加强应急准备，并按照有关规定向社会公布。要建立健全信息共享和风险会商机制，及时掌握安全风险动态，针对危险化学品事故易发的关键领域、关键时段，发布安全生产提示、警示信息。</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对可能</w:t>
      </w:r>
      <w:r>
        <w:rPr>
          <w:rFonts w:hint="eastAsia"/>
          <w:lang w:val="en-US" w:eastAsia="zh-CN"/>
        </w:rPr>
        <w:t>引发</w:t>
      </w:r>
      <w:r>
        <w:rPr>
          <w:rFonts w:hint="default"/>
          <w:lang w:val="en-US" w:eastAsia="zh-CN"/>
        </w:rPr>
        <w:t>危险化学品事故的险情，或当其他事件可能引发危险化学品事故时，相关单位应及时通报当地政府及负有危险化学品安全监督管理职责的部门。</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对自然灾害、公共卫生和社会安全等方面的突发事件可能引发危险化学品事故的信息，各级各类应急指挥机构应及时通报同级危险化学品事故应急指挥机构。</w:t>
      </w:r>
      <w:bookmarkStart w:id="34" w:name="_Toc20997"/>
      <w:bookmarkStart w:id="35" w:name="_Toc19243"/>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3.2危险化学品事故预警</w:t>
      </w:r>
      <w:bookmarkEnd w:id="34"/>
      <w:bookmarkEnd w:id="35"/>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危险化学品单位发现生产设施设备及环境异常，可能导致危险化学品事故时，应当立即发布本单位危险化学品事故预警，确保本单位所有事涉人员都能及时收到预警信息，并及时向事发地负有危险化学品安全监督管理职责的部门报告。</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负有危险化学品安全监督管理职责的部门接到预警报告后，应立即报告本级政府并通报本级应急管理部门，在本级政府的统一指挥下，研判预警信息，采取应对措施；当可能影响邻近地区时，应及时通报邻近地区有关部门和政府；当可能发生的事故预计超过本级政府处置能力时，应及时向本级政府及上级政府有关部门报告。各级政府及有关部门接到报告后应当及时研判、处置。</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36" w:name="_Toc21098"/>
      <w:bookmarkStart w:id="37" w:name="_Toc31747"/>
      <w:r>
        <w:rPr>
          <w:rFonts w:hint="eastAsia" w:ascii="仿宋_GB2312" w:hAnsi="仿宋_GB2312" w:eastAsia="仿宋_GB2312" w:cs="仿宋_GB2312"/>
          <w:b w:val="0"/>
          <w:bCs w:val="0"/>
          <w:sz w:val="32"/>
          <w:szCs w:val="32"/>
          <w:lang w:val="en-US" w:eastAsia="zh-CN"/>
        </w:rPr>
        <w:t>3.2.1预警级别</w:t>
      </w:r>
      <w:bookmarkEnd w:id="36"/>
      <w:bookmarkEnd w:id="37"/>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按照危险化学品事故发生的紧急程度、发展势态和可能造成的危害程度，对可以预警的危险化学品事故的预警级别，分为一级、二级、三级和四级，分别用红色、橙色、黄色和蓝色标示，一级为最高级别。根据事态发展，发布单位可适时调整预警级别并重新报告、通报和发布有关预警信息。</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38" w:name="_Toc23455"/>
      <w:bookmarkStart w:id="39" w:name="_Toc7762"/>
      <w:r>
        <w:rPr>
          <w:rFonts w:hint="eastAsia" w:ascii="仿宋_GB2312" w:hAnsi="仿宋_GB2312" w:eastAsia="仿宋_GB2312" w:cs="仿宋_GB2312"/>
          <w:b w:val="0"/>
          <w:bCs w:val="0"/>
          <w:sz w:val="32"/>
          <w:szCs w:val="32"/>
          <w:lang w:val="en-US" w:eastAsia="zh-CN"/>
        </w:rPr>
        <w:t>3.2.2预警发布</w:t>
      </w:r>
      <w:bookmarkEnd w:id="38"/>
      <w:bookmarkEnd w:id="39"/>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预警信息原则上由属地政府相关负有危险化学品安全监督管理职责的部门发布。预警信息内容包括：预警原因（事故或事故风险、自然灾害等）、预警级别、预警区域或场所、预警时间、影响情况、应对措施、发布机关等。预警信息发布部门应加强与救援救灾部门和重点防范部门的信息交换。</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40" w:name="_Toc15810"/>
      <w:bookmarkStart w:id="41" w:name="_Toc27603"/>
      <w:r>
        <w:rPr>
          <w:rFonts w:hint="eastAsia" w:ascii="仿宋_GB2312" w:hAnsi="仿宋_GB2312" w:eastAsia="仿宋_GB2312" w:cs="仿宋_GB2312"/>
          <w:b w:val="0"/>
          <w:bCs w:val="0"/>
          <w:sz w:val="32"/>
          <w:szCs w:val="32"/>
          <w:lang w:val="en-US" w:eastAsia="zh-CN"/>
        </w:rPr>
        <w:t>3.2.3预警行动</w:t>
      </w:r>
      <w:bookmarkEnd w:id="40"/>
      <w:bookmarkEnd w:id="41"/>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预警信息发布后，预警区域内各有关单位要采取有效措施预防事故发生。</w:t>
      </w:r>
      <w:r>
        <w:rPr>
          <w:rFonts w:hint="eastAsia"/>
          <w:lang w:val="en-US" w:eastAsia="zh-CN"/>
        </w:rPr>
        <w:t>危险化学品</w:t>
      </w:r>
      <w:r>
        <w:rPr>
          <w:rFonts w:hint="default"/>
          <w:lang w:val="en-US" w:eastAsia="zh-CN"/>
        </w:rPr>
        <w:t>单位应当加强重大危险源、关键设施检查监测，采取有效措施做好防范应对工作，必要时组织停产撤人；组织应急队伍和人员进入待命状态，做好应急准备。县</w:t>
      </w:r>
      <w:r>
        <w:rPr>
          <w:rFonts w:hint="eastAsia"/>
          <w:lang w:val="en-US" w:eastAsia="zh-CN"/>
        </w:rPr>
        <w:t>政府</w:t>
      </w:r>
      <w:r>
        <w:rPr>
          <w:rFonts w:hint="default"/>
          <w:lang w:val="en-US" w:eastAsia="zh-CN"/>
        </w:rPr>
        <w:t>及相关负有危险化学品安全监督管理职责的部门根据预警级别和实际情况以及分级负责的原则，采取下列（不限于）措施</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（1）组织收集、分析事故险情信息，研判影响范围和危害程度，制定预警行动方案，建立并保持信息渠道畅通；</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（2）组织协调涉险区域有关单位采取有效措施，防止发生事故或降低事故危害；必要时采取区域警戒和管制，疏散转移和妥善安置可能受到危害的人员；限制使用或关闭易受事故危害的场所；</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（3）通知应急救援队伍、负有特定职责的人员进入待命状态；通知相关单位做好应急资源准备；</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（4）及时发布事态信息，公布应急措施，回应社会关切，维护社会正常秩序。</w:t>
      </w:r>
      <w:bookmarkStart w:id="42" w:name="_Toc24014"/>
      <w:bookmarkStart w:id="43" w:name="_Toc22184"/>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3.2.4预警调整及解除</w:t>
      </w:r>
      <w:bookmarkEnd w:id="42"/>
      <w:bookmarkEnd w:id="4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发布预警的单位根据实际情况适时调整预警级别。</w:t>
      </w:r>
    </w:p>
    <w:p>
      <w:pPr>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lang w:val="en-US" w:eastAsia="zh-CN"/>
        </w:rPr>
      </w:pPr>
      <w:r>
        <w:rPr>
          <w:rFonts w:hint="default"/>
          <w:lang w:val="en-US" w:eastAsia="zh-CN"/>
        </w:rPr>
        <w:t>当安全风险得到有效控制，按照</w:t>
      </w:r>
      <w:r>
        <w:rPr>
          <w:rFonts w:hint="eastAsia"/>
          <w:lang w:val="en-US" w:eastAsia="zh-CN"/>
        </w:rPr>
        <w:t>“</w:t>
      </w:r>
      <w:r>
        <w:rPr>
          <w:rFonts w:hint="default"/>
          <w:lang w:val="en-US" w:eastAsia="zh-CN"/>
        </w:rPr>
        <w:t>谁发布、谁解除</w:t>
      </w:r>
      <w:r>
        <w:rPr>
          <w:rFonts w:hint="eastAsia"/>
          <w:lang w:val="en-US" w:eastAsia="zh-CN"/>
        </w:rPr>
        <w:t>”</w:t>
      </w:r>
      <w:r>
        <w:rPr>
          <w:rFonts w:hint="default"/>
          <w:lang w:val="en-US" w:eastAsia="zh-CN"/>
        </w:rPr>
        <w:t>的原则，由发布单位及时宣布解除预警警报，终止预警行动，解除已经采取的有关措施。</w:t>
      </w:r>
    </w:p>
    <w:p>
      <w:pPr>
        <w:pStyle w:val="2"/>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bookmarkStart w:id="44" w:name="_Toc20744"/>
      <w:bookmarkStart w:id="45" w:name="_Toc25668"/>
      <w:r>
        <w:rPr>
          <w:rFonts w:hint="eastAsia" w:ascii="黑体" w:hAnsi="黑体" w:eastAsia="黑体" w:cs="黑体"/>
          <w:b w:val="0"/>
          <w:bCs w:val="0"/>
          <w:sz w:val="32"/>
          <w:szCs w:val="32"/>
          <w:lang w:val="en-US" w:eastAsia="zh-CN"/>
        </w:rPr>
        <w:t>4应急响应</w:t>
      </w:r>
      <w:bookmarkEnd w:id="44"/>
      <w:bookmarkEnd w:id="45"/>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46" w:name="_Toc14524"/>
      <w:bookmarkStart w:id="47" w:name="_Toc18699"/>
      <w:r>
        <w:rPr>
          <w:rFonts w:hint="eastAsia" w:ascii="楷体_GB2312" w:hAnsi="楷体_GB2312" w:eastAsia="楷体_GB2312" w:cs="楷体_GB2312"/>
          <w:b w:val="0"/>
          <w:bCs w:val="0"/>
          <w:sz w:val="32"/>
          <w:szCs w:val="32"/>
          <w:lang w:val="en-US" w:eastAsia="zh-CN"/>
        </w:rPr>
        <w:t>4.1信息报告</w:t>
      </w:r>
      <w:bookmarkEnd w:id="46"/>
      <w:bookmarkEnd w:id="47"/>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危险化学品</w:t>
      </w:r>
      <w:r>
        <w:rPr>
          <w:rFonts w:hint="default"/>
          <w:lang w:val="en-US" w:eastAsia="zh-CN"/>
        </w:rPr>
        <w:t>事故发生后，事故单位（包括事故发生区域的管理单位，下同）现场有关人员应当立即报告本单位负责人，涉及灭火救援、医疗救治的，要立即拨打相关应急救援电话。情况紧急时，可直接向县应急管理局和相关负有危险化学品安全监督管理职责的部门报告。</w:t>
      </w:r>
    </w:p>
    <w:p>
      <w:pPr>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lang w:val="en-US" w:eastAsia="zh-CN"/>
        </w:rPr>
      </w:pPr>
      <w:r>
        <w:rPr>
          <w:rFonts w:hint="default"/>
          <w:lang w:val="en-US" w:eastAsia="zh-CN"/>
        </w:rPr>
        <w:t>道路运输</w:t>
      </w:r>
      <w:r>
        <w:rPr>
          <w:rFonts w:hint="eastAsia"/>
          <w:lang w:val="en-US" w:eastAsia="zh-CN"/>
        </w:rPr>
        <w:t>、水路运输</w:t>
      </w:r>
      <w:r>
        <w:rPr>
          <w:rFonts w:hint="default"/>
          <w:lang w:val="en-US" w:eastAsia="zh-CN"/>
        </w:rPr>
        <w:t>过程中发生危险化学品事故的，驾驶人员</w:t>
      </w:r>
      <w:r>
        <w:rPr>
          <w:rFonts w:hint="eastAsia"/>
          <w:lang w:val="en-US" w:eastAsia="zh-CN"/>
        </w:rPr>
        <w:t>、船员</w:t>
      </w:r>
      <w:r>
        <w:rPr>
          <w:rFonts w:hint="default"/>
          <w:lang w:val="en-US" w:eastAsia="zh-CN"/>
        </w:rPr>
        <w:t>或者押运人员</w:t>
      </w:r>
      <w:r>
        <w:rPr>
          <w:rFonts w:hint="eastAsia"/>
          <w:lang w:val="en-US" w:eastAsia="zh-CN"/>
        </w:rPr>
        <w:t>还应向事故发生地交通运输主管部门报告。</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事故单位负责人接报后，应当立即向县应急管理局</w:t>
      </w:r>
      <w:r>
        <w:rPr>
          <w:rFonts w:hint="eastAsia"/>
          <w:lang w:val="en-US" w:eastAsia="zh-CN"/>
        </w:rPr>
        <w:t>和</w:t>
      </w:r>
      <w:r>
        <w:rPr>
          <w:rFonts w:hint="default"/>
          <w:lang w:val="en-US" w:eastAsia="zh-CN"/>
        </w:rPr>
        <w:t>负有危险化学品安全监督管理职责的部门</w:t>
      </w:r>
      <w:r>
        <w:rPr>
          <w:rFonts w:hint="eastAsia"/>
          <w:lang w:val="en-US" w:eastAsia="zh-CN"/>
        </w:rPr>
        <w:t>、环境保护、公安和卫生主管部门</w:t>
      </w:r>
      <w:r>
        <w:rPr>
          <w:rFonts w:hint="default"/>
          <w:lang w:val="en-US" w:eastAsia="zh-CN"/>
        </w:rPr>
        <w:t>报告。需要政府提供应急支援的，应当立即报告。</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负有危险化学品安全监督管理职责的部门接到</w:t>
      </w:r>
      <w:r>
        <w:rPr>
          <w:rFonts w:hint="eastAsia"/>
          <w:lang w:val="en-US" w:eastAsia="zh-CN"/>
        </w:rPr>
        <w:t>危险化学品</w:t>
      </w:r>
      <w:r>
        <w:rPr>
          <w:rFonts w:hint="default"/>
          <w:lang w:val="en-US" w:eastAsia="zh-CN"/>
        </w:rPr>
        <w:t>事故报告后，应当立即核实有关情况，于</w:t>
      </w:r>
      <w:r>
        <w:rPr>
          <w:rFonts w:hint="eastAsia"/>
          <w:lang w:val="en-US" w:eastAsia="zh-CN"/>
        </w:rPr>
        <w:t>1</w:t>
      </w:r>
      <w:r>
        <w:rPr>
          <w:rFonts w:hint="default"/>
          <w:lang w:val="en-US" w:eastAsia="zh-CN"/>
        </w:rPr>
        <w:t>小时内向本级政府及应急管理部门、上级主管部门报告事故信息，并通报可能受影响的地区、部门和单位；按规定启动应急响应，需要上级支援的立即上报请求支援。</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事故报告后出现新情况的，有关人员、单位、部门、政府应当及时进行信息续报</w:t>
      </w:r>
      <w:r>
        <w:rPr>
          <w:rFonts w:hint="eastAsia"/>
          <w:lang w:val="en-US" w:eastAsia="zh-CN"/>
        </w:rPr>
        <w:t>。</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48" w:name="_Toc9304"/>
      <w:bookmarkStart w:id="49" w:name="_Toc28895"/>
      <w:r>
        <w:rPr>
          <w:rFonts w:hint="eastAsia" w:ascii="楷体_GB2312" w:hAnsi="楷体_GB2312" w:eastAsia="楷体_GB2312" w:cs="楷体_GB2312"/>
          <w:b w:val="0"/>
          <w:bCs w:val="0"/>
          <w:sz w:val="32"/>
          <w:szCs w:val="32"/>
          <w:lang w:val="en-US" w:eastAsia="zh-CN"/>
        </w:rPr>
        <w:t>4.2事故单位应急处置措施</w:t>
      </w:r>
      <w:bookmarkEnd w:id="48"/>
      <w:bookmarkEnd w:id="49"/>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发生</w:t>
      </w:r>
      <w:r>
        <w:rPr>
          <w:rFonts w:hint="eastAsia"/>
          <w:lang w:val="en-US" w:eastAsia="zh-CN"/>
        </w:rPr>
        <w:t>危险化学品</w:t>
      </w:r>
      <w:r>
        <w:rPr>
          <w:rFonts w:hint="default"/>
          <w:lang w:val="en-US" w:eastAsia="zh-CN"/>
        </w:rPr>
        <w:t>事故后，事故单位应当立即启动应急响应，采取下列（不限于）应急处置措施</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（1）迅速、科学控制危险源，组织抢救遇险人员；</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（2）根据事故危害程度，组织现场人员撤离或者采取可能的应急措施后撤离；</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（3）及时通知可能受到事故影响的地区、单位和人员；</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（4）采取必要措施，防止事故危害扩大和次生、衍生灾害发生；</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（5）根据需要请求邻近的应急救援队伍参加救援，并向参加救援的应急救援队伍提供相关技术资料、信息和处置建议；</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（6）维护事故现场秩序，保护事故现场和相关证据。</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50" w:name="_Toc24353"/>
      <w:bookmarkStart w:id="51" w:name="_Toc24455"/>
      <w:r>
        <w:rPr>
          <w:rFonts w:hint="eastAsia" w:ascii="楷体_GB2312" w:hAnsi="楷体_GB2312" w:eastAsia="楷体_GB2312" w:cs="楷体_GB2312"/>
          <w:b w:val="0"/>
          <w:bCs w:val="0"/>
          <w:sz w:val="32"/>
          <w:szCs w:val="32"/>
          <w:lang w:val="en-US" w:eastAsia="zh-CN"/>
        </w:rPr>
        <w:t>4.3分层响应与响应分级</w:t>
      </w:r>
      <w:bookmarkEnd w:id="50"/>
      <w:bookmarkEnd w:id="51"/>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52" w:name="_Toc17580"/>
      <w:bookmarkStart w:id="53" w:name="_Toc26443"/>
      <w:r>
        <w:rPr>
          <w:rFonts w:hint="eastAsia" w:ascii="仿宋_GB2312" w:hAnsi="仿宋_GB2312" w:eastAsia="仿宋_GB2312" w:cs="仿宋_GB2312"/>
          <w:b w:val="0"/>
          <w:bCs w:val="0"/>
          <w:sz w:val="32"/>
          <w:szCs w:val="32"/>
          <w:lang w:val="en-US" w:eastAsia="zh-CN"/>
        </w:rPr>
        <w:t>4.3.1分层级响应</w:t>
      </w:r>
      <w:bookmarkEnd w:id="52"/>
      <w:bookmarkEnd w:id="5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特别重大、重大危险化学品事故由</w:t>
      </w:r>
      <w:r>
        <w:rPr>
          <w:rFonts w:hint="eastAsia"/>
          <w:lang w:val="en-US" w:eastAsia="zh-CN"/>
        </w:rPr>
        <w:t>省</w:t>
      </w:r>
      <w:r>
        <w:rPr>
          <w:rFonts w:hint="default"/>
          <w:lang w:val="en-US" w:eastAsia="zh-CN"/>
        </w:rPr>
        <w:t>牵头组织应对，较大危险化学品事故由市牵头组织应对，一般危险化学品事故由县牵头组织应对。</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涉及跨本县行政区域或超出县政府处置能力的报请市政府及相关部门提供支援或组织指导应对。</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54" w:name="_Toc7819"/>
      <w:bookmarkStart w:id="55" w:name="_Toc18939"/>
      <w:r>
        <w:rPr>
          <w:rFonts w:hint="eastAsia" w:ascii="仿宋_GB2312" w:hAnsi="仿宋_GB2312" w:eastAsia="仿宋_GB2312" w:cs="仿宋_GB2312"/>
          <w:b w:val="0"/>
          <w:bCs w:val="0"/>
          <w:sz w:val="32"/>
          <w:szCs w:val="32"/>
          <w:lang w:val="en-US" w:eastAsia="zh-CN"/>
        </w:rPr>
        <w:t>4.3.2响应分级</w:t>
      </w:r>
      <w:bookmarkEnd w:id="54"/>
      <w:bookmarkEnd w:id="55"/>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级应急响应由高到低分为三级，即一级响应、二级响应、三级响应。当初判发生或可能发生特别重大、重大、较大危险化学品事故时，县指挥部办公室会同相关部门（单位）研究提出启动县级一级响应建议，县指挥部总指挥决定启动并指挥；当初判发生或可能发生一般危险化学品事故时，县指挥部办公室会同相关部门（单位）研究提出启动县级二级响应建议，县指挥部总指挥决定启动并指挥；当发生危险化学品事故，超出事发地乡镇政府（街道办事处）处置能力时，经事发地乡镇政府（街道办事处）请求，或因情况敏感复杂，处置不当后果严重，县指挥部根据实际情况研</w:t>
      </w:r>
      <w:r>
        <w:rPr>
          <w:rFonts w:hint="default"/>
          <w:lang w:val="en-US" w:eastAsia="zh-CN"/>
        </w:rPr>
        <w:t>判，可以适时启动</w:t>
      </w:r>
      <w:r>
        <w:rPr>
          <w:rFonts w:hint="eastAsia"/>
          <w:lang w:val="en-US" w:eastAsia="zh-CN"/>
        </w:rPr>
        <w:t>县</w:t>
      </w:r>
      <w:r>
        <w:rPr>
          <w:rFonts w:hint="default"/>
          <w:lang w:val="en-US" w:eastAsia="zh-CN"/>
        </w:rPr>
        <w:t>级三级响应，县指挥部副总指挥决定启动并指挥，或指定专人指挥。对于事故本身比较敏感，或发生在重点地区或重大活动期间的，可提高响应级别。应急响应启动后，可视情调整响应级别。</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各乡镇政府（街道办事处），各单位和基层组织，危险化学品事故应急预案的应急响应分级，按照国家有关规定确定，并与上级、属地政府和主管部门响应分级保持好衔接。</w:t>
      </w:r>
      <w:bookmarkStart w:id="56" w:name="_Toc5218"/>
      <w:bookmarkStart w:id="57" w:name="_Toc19677"/>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4.4特别重大、重大、较大危险化学品事故响应</w:t>
      </w:r>
      <w:bookmarkEnd w:id="56"/>
      <w:bookmarkEnd w:id="57"/>
      <w:bookmarkStart w:id="58" w:name="_Toc31863"/>
      <w:bookmarkStart w:id="59" w:name="_Toc15302"/>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4.4.1先期处置</w:t>
      </w:r>
      <w:bookmarkEnd w:id="58"/>
      <w:bookmarkEnd w:id="59"/>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发生特别重大、重大、较大危险化学品事故，县政府主要负责同志应立即赶赴现场，组织先期处置，采取下列（不限于）应急处置措施：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（1）启动应急响应；</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（2）组织抢救遇险人员，救治受伤人员，研判事故发展趋势以及可能造成的危害；</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（3）通知可能受到事故影响的地区、单位和人员，隔离事故现场，划定警戒区域，疏散受到威胁的人员，必要时实施交通管制；</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（4）采取必要措施，防止事故危害扩大和次生、衍生灾害发生，避免或者减少事故对环境造成的危害；</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（5）针对事故对人体、动植物、土壤、水源、大气造成的现实危害和可能产生的危害，迅速采取封闭、隔离、洗消等措施；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（6）对危险化学品事故造成的环境污染和生态破坏状况进行监测、评估，并采取相应的环境污染治理和生态修复措施；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（7）依法发布调用和征用应急资源的决定；</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（8）依法向应急救援队伍下达救援命令；</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（9）维护事故现场秩序，组织安抚遇险人员和遇险遇难人员亲属；</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（10）按照国家有关规定上报事故情况，依法发布有关事故情况和应急救援工作的信息。</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当事故超出本县处置能力时，应当及时向白城市请求支援。</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60" w:name="_Toc21071"/>
      <w:bookmarkStart w:id="61" w:name="_Toc14425"/>
      <w:r>
        <w:rPr>
          <w:rFonts w:hint="eastAsia" w:ascii="仿宋_GB2312" w:hAnsi="仿宋_GB2312" w:eastAsia="仿宋_GB2312" w:cs="仿宋_GB2312"/>
          <w:b w:val="0"/>
          <w:bCs w:val="0"/>
          <w:sz w:val="32"/>
          <w:szCs w:val="32"/>
          <w:lang w:val="en-US" w:eastAsia="zh-CN"/>
        </w:rPr>
        <w:t>4.4.2现场指挥</w:t>
      </w:r>
      <w:bookmarkEnd w:id="60"/>
      <w:bookmarkEnd w:id="61"/>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省、市现场指挥部成立后，县现场应急指挥机构纳入省、市现场指挥部，在省、市现场指挥部的统一领导下组织开展应对工作。</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到达事故现场的各方应急力量要及时向现场指挥部报到、受领任务，接受统一指挥调度，严格遵守现场管理、信息发布等工作要求，并及时报告现场情况和处置进展情况。</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62" w:name="_Toc15025"/>
      <w:bookmarkStart w:id="63" w:name="_Toc491"/>
      <w:r>
        <w:rPr>
          <w:rFonts w:hint="eastAsia" w:ascii="楷体_GB2312" w:hAnsi="楷体_GB2312" w:eastAsia="楷体_GB2312" w:cs="楷体_GB2312"/>
          <w:b w:val="0"/>
          <w:bCs w:val="0"/>
          <w:sz w:val="32"/>
          <w:szCs w:val="32"/>
          <w:lang w:val="en-US" w:eastAsia="zh-CN"/>
        </w:rPr>
        <w:t>4.5一般危险化学品事故响应</w:t>
      </w:r>
      <w:bookmarkEnd w:id="62"/>
      <w:bookmarkEnd w:id="63"/>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64" w:name="_Toc18235"/>
      <w:bookmarkStart w:id="65" w:name="_Toc21961"/>
      <w:r>
        <w:rPr>
          <w:rFonts w:hint="eastAsia" w:ascii="仿宋_GB2312" w:hAnsi="仿宋_GB2312" w:eastAsia="仿宋_GB2312" w:cs="仿宋_GB2312"/>
          <w:b w:val="0"/>
          <w:bCs w:val="0"/>
          <w:sz w:val="32"/>
          <w:szCs w:val="32"/>
          <w:lang w:val="en-US" w:eastAsia="zh-CN"/>
        </w:rPr>
        <w:t>4.5.1事发地政府先期处置</w:t>
      </w:r>
      <w:bookmarkEnd w:id="64"/>
      <w:bookmarkEnd w:id="65"/>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发生危险化学品事故，事发地乡镇政府（街道办事处）</w:t>
      </w:r>
      <w:r>
        <w:rPr>
          <w:rFonts w:hint="default"/>
          <w:lang w:val="en-US" w:eastAsia="zh-CN"/>
        </w:rPr>
        <w:t>主要负责同志应立即赶赴现场，组织先期处置，采取下列（不限于）应急处置措施：</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（1）启动应急响应；</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（2）组织抢救遇险人员，救治受伤人员，研判事故发展趋势以及可能造成的危害；</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（3）通知可能受到事故影响的地区、单位和人员，隔离事故现场，划定警戒区域，疏散受到威胁的人员，必要时实施交通管制；</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（4）采取必要措施，防止事故危害扩大和次生、衍生灾害发生，避免或者减少事故对环境造成的危害；</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（5）针对事故对人体、动植物、土壤、水源、大气造成的现实危害和可能产生的危害，迅速采取封闭、隔离、洗消等措施；</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（6）对危险化学品事故造成的环境污染和生态破坏状况进行监测、评估，并采取相应的环境污染治理和生态修复措施；</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w:t>
      </w:r>
      <w:r>
        <w:rPr>
          <w:rFonts w:hint="eastAsia"/>
          <w:lang w:val="en-US" w:eastAsia="zh-CN"/>
        </w:rPr>
        <w:t>7</w:t>
      </w:r>
      <w:r>
        <w:rPr>
          <w:rFonts w:hint="default"/>
          <w:lang w:val="en-US" w:eastAsia="zh-CN"/>
        </w:rPr>
        <w:t>）依法发布调用和征用应急资源的决定；</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w:t>
      </w:r>
      <w:r>
        <w:rPr>
          <w:rFonts w:hint="eastAsia"/>
          <w:lang w:val="en-US" w:eastAsia="zh-CN"/>
        </w:rPr>
        <w:t>8</w:t>
      </w:r>
      <w:r>
        <w:rPr>
          <w:rFonts w:hint="default"/>
          <w:lang w:val="en-US" w:eastAsia="zh-CN"/>
        </w:rPr>
        <w:t>）依法向应急救援队伍下达救援命令；</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w:t>
      </w:r>
      <w:r>
        <w:rPr>
          <w:rFonts w:hint="eastAsia"/>
          <w:lang w:val="en-US" w:eastAsia="zh-CN"/>
        </w:rPr>
        <w:t>9</w:t>
      </w:r>
      <w:r>
        <w:rPr>
          <w:rFonts w:hint="default"/>
          <w:lang w:val="en-US" w:eastAsia="zh-CN"/>
        </w:rPr>
        <w:t>）维护事故现场秩序，组织安抚遇险人员和遇险遇难人员亲属；</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w:t>
      </w:r>
      <w:r>
        <w:rPr>
          <w:rFonts w:hint="eastAsia"/>
          <w:lang w:val="en-US" w:eastAsia="zh-CN"/>
        </w:rPr>
        <w:t>10</w:t>
      </w:r>
      <w:r>
        <w:rPr>
          <w:rFonts w:hint="default"/>
          <w:lang w:val="en-US" w:eastAsia="zh-CN"/>
        </w:rPr>
        <w:t>）按照国家有关规定上报事故情况，依法发布有关事故情况和应急救援工作的信息。</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事发地乡镇政府（街道办事处）不能有效控制危险化学品事故的，应当及时向</w:t>
      </w:r>
      <w:r>
        <w:rPr>
          <w:rFonts w:hint="eastAsia"/>
          <w:lang w:val="en-US" w:eastAsia="zh-CN"/>
        </w:rPr>
        <w:t>县</w:t>
      </w:r>
      <w:r>
        <w:rPr>
          <w:rFonts w:hint="default"/>
          <w:lang w:val="en-US" w:eastAsia="zh-CN"/>
        </w:rPr>
        <w:t>政府报告请求支援。</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66" w:name="_Toc1592"/>
      <w:bookmarkStart w:id="67" w:name="_Toc15646"/>
      <w:r>
        <w:rPr>
          <w:rFonts w:hint="eastAsia" w:ascii="仿宋_GB2312" w:hAnsi="仿宋_GB2312" w:eastAsia="仿宋_GB2312" w:cs="仿宋_GB2312"/>
          <w:b w:val="0"/>
          <w:bCs w:val="0"/>
          <w:sz w:val="32"/>
          <w:szCs w:val="32"/>
          <w:lang w:val="en-US" w:eastAsia="zh-CN"/>
        </w:rPr>
        <w:t>4.5.2县级处置</w:t>
      </w:r>
      <w:bookmarkEnd w:id="66"/>
      <w:bookmarkEnd w:id="67"/>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县级</w:t>
      </w:r>
      <w:r>
        <w:rPr>
          <w:rFonts w:hint="default"/>
          <w:lang w:val="en-US" w:eastAsia="zh-CN"/>
        </w:rPr>
        <w:t>应急响应</w:t>
      </w:r>
      <w:r>
        <w:rPr>
          <w:rFonts w:hint="eastAsia"/>
          <w:lang w:val="en-US" w:eastAsia="zh-CN"/>
        </w:rPr>
        <w:t>启动</w:t>
      </w:r>
      <w:r>
        <w:rPr>
          <w:rFonts w:hint="default"/>
          <w:lang w:val="en-US" w:eastAsia="zh-CN"/>
        </w:rPr>
        <w:t>后，</w:t>
      </w:r>
      <w:r>
        <w:rPr>
          <w:rFonts w:hint="eastAsia"/>
          <w:lang w:val="en-US" w:eastAsia="zh-CN"/>
        </w:rPr>
        <w:t>县</w:t>
      </w:r>
      <w:r>
        <w:rPr>
          <w:rFonts w:hint="default"/>
          <w:lang w:val="en-US" w:eastAsia="zh-CN"/>
        </w:rPr>
        <w:t>指挥部采取如下（不限于）处置措施</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（1）发布启动相应级别应急响应的指令；</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（2）对事发地乡镇政府（街道办事处）提出事故应急处置要求，指令县有关部门立即采取相应的应急措施；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（3）向县委、县政府和白城市应急管理局报告，必要时请求白城市应急管理局给予支持，及时通报波及或可能波及的其他县；</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（4）调集专业处置力量和抢险救援物资救援，必要时协调解放军和武警部队给予支援；</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5）启动一级、二级响应后，依据实际情况研究决定派出现场指挥部赶赴事发现场统一指挥；启动三级响应后，县相关负有危险化学品安全监督管理职责的部门可以派出工作指导组或有关人员赶赴事发现场，指导协助事发地组织应急救援等工作；</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（6）对可能或者已经引发其他突发事件的，及时上报县委、县政府，同时通报相关领域的应急专项指挥机构；</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（7）贯彻落实国家和省委、省政府、市委、市政府有关指示，进一步采取相关处置措施。</w:t>
      </w:r>
    </w:p>
    <w:p>
      <w:pPr>
        <w:pStyle w:val="4"/>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68" w:name="_Toc16447"/>
      <w:bookmarkStart w:id="69" w:name="_Toc14945"/>
      <w:r>
        <w:rPr>
          <w:rFonts w:hint="eastAsia" w:ascii="仿宋_GB2312" w:hAnsi="仿宋_GB2312" w:eastAsia="仿宋_GB2312" w:cs="仿宋_GB2312"/>
          <w:b w:val="0"/>
          <w:bCs w:val="0"/>
          <w:sz w:val="32"/>
          <w:szCs w:val="32"/>
          <w:lang w:val="en-US" w:eastAsia="zh-CN"/>
        </w:rPr>
        <w:t>4.5.3现场指挥</w:t>
      </w:r>
      <w:bookmarkEnd w:id="68"/>
      <w:bookmarkEnd w:id="69"/>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为统一组织、指挥、协调现场应急处置工作，</w:t>
      </w:r>
      <w:r>
        <w:rPr>
          <w:rFonts w:hint="eastAsia"/>
          <w:lang w:val="en-US" w:eastAsia="zh-CN"/>
        </w:rPr>
        <w:t>县</w:t>
      </w:r>
      <w:r>
        <w:rPr>
          <w:rFonts w:hint="default"/>
          <w:lang w:val="en-US" w:eastAsia="zh-CN"/>
        </w:rPr>
        <w:t>指挥部决定成立</w:t>
      </w:r>
      <w:r>
        <w:rPr>
          <w:rFonts w:hint="eastAsia"/>
          <w:lang w:val="en-US" w:eastAsia="zh-CN"/>
        </w:rPr>
        <w:t>县</w:t>
      </w:r>
      <w:r>
        <w:rPr>
          <w:rFonts w:hint="default"/>
          <w:lang w:val="en-US" w:eastAsia="zh-CN"/>
        </w:rPr>
        <w:t>现场指挥部后，明确县现场指挥部总指挥、副总指挥和成员，迅速赶赴事发地指挥现场抢险救援</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县</w:t>
      </w:r>
      <w:r>
        <w:rPr>
          <w:rFonts w:hint="default"/>
          <w:lang w:val="en-US" w:eastAsia="zh-CN"/>
        </w:rPr>
        <w:t>现场指挥部成立后，事发地乡镇政府（街道办事处）先期设立的现场应急指挥机构应纳入</w:t>
      </w:r>
      <w:r>
        <w:rPr>
          <w:rFonts w:hint="eastAsia"/>
          <w:lang w:val="en-US" w:eastAsia="zh-CN"/>
        </w:rPr>
        <w:t>县</w:t>
      </w:r>
      <w:r>
        <w:rPr>
          <w:rFonts w:hint="default"/>
          <w:lang w:val="en-US" w:eastAsia="zh-CN"/>
        </w:rPr>
        <w:t>现场指挥部，在县现场指挥部的统一领导下组织开展应对工作。</w:t>
      </w:r>
      <w:r>
        <w:rPr>
          <w:rFonts w:hint="eastAsia"/>
          <w:lang w:val="en-US" w:eastAsia="zh-CN"/>
        </w:rPr>
        <w:t>县</w:t>
      </w:r>
      <w:r>
        <w:rPr>
          <w:rFonts w:hint="default"/>
          <w:lang w:val="en-US" w:eastAsia="zh-CN"/>
        </w:rPr>
        <w:t>现场指挥部要充分听取专家意见建议，开设统一的救援队伍集结点、物资接收点和分发点、新闻发布中心，提供必要的后勤保障。</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到达事故现场的各方应急力量要及时向</w:t>
      </w:r>
      <w:r>
        <w:rPr>
          <w:rFonts w:hint="eastAsia"/>
          <w:lang w:val="en-US" w:eastAsia="zh-CN"/>
        </w:rPr>
        <w:t>县</w:t>
      </w:r>
      <w:r>
        <w:rPr>
          <w:rFonts w:hint="default"/>
          <w:lang w:val="en-US" w:eastAsia="zh-CN"/>
        </w:rPr>
        <w:t>现场指挥部报到、受领任务，接受统一指挥调度，严格遵守现场管理、信息发布等工作要求，并及时报告现场情况和处置进展情况</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w:t>
      </w:r>
      <w:r>
        <w:rPr>
          <w:rFonts w:hint="default"/>
          <w:lang w:val="en-US" w:eastAsia="zh-CN"/>
        </w:rPr>
        <w:t>现场指挥部根据应急处置需要，可设立若干工作组，工作组可与</w:t>
      </w:r>
      <w:r>
        <w:rPr>
          <w:rFonts w:hint="eastAsia"/>
          <w:lang w:val="en-US" w:eastAsia="zh-CN"/>
        </w:rPr>
        <w:t>县</w:t>
      </w:r>
      <w:r>
        <w:rPr>
          <w:rFonts w:hint="default"/>
          <w:lang w:val="en-US" w:eastAsia="zh-CN"/>
        </w:rPr>
        <w:t>指挥部工作组相对应，或者结合实际作出调整</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县现场指挥部可采取（不限于）以下工作措施，结合形势变化及时作出调整</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（1）要求应急救援人员根据需要携带专业防护装备，采取安全防护措施，严格执行应急救援人员进入和离开事故现场的相关规定；</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（2）采取确保群众安全的安全防护措施；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（3）决定应急状态下群众疏散、转移和安置的方式、范围、路线、程序；</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（4）指定有关部门负责实施疏散、转移；</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（5）启动应急避难场所；</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（6）开展医疗、防疫和疾病控制工作；</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（7）加强治安管理；</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（8）做好现场应急处置宣传报道工作。</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70" w:name="_Toc11705"/>
      <w:bookmarkStart w:id="71" w:name="_Toc9643"/>
      <w:r>
        <w:rPr>
          <w:rFonts w:hint="eastAsia" w:ascii="楷体_GB2312" w:hAnsi="楷体_GB2312" w:eastAsia="楷体_GB2312" w:cs="楷体_GB2312"/>
          <w:b w:val="0"/>
          <w:bCs w:val="0"/>
          <w:sz w:val="32"/>
          <w:szCs w:val="32"/>
          <w:lang w:val="en-US" w:eastAsia="zh-CN"/>
        </w:rPr>
        <w:t>4.6信息发布</w:t>
      </w:r>
      <w:bookmarkEnd w:id="70"/>
      <w:bookmarkEnd w:id="71"/>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危险化学品</w:t>
      </w:r>
      <w:r>
        <w:rPr>
          <w:rFonts w:hint="default"/>
          <w:lang w:val="en-US" w:eastAsia="zh-CN"/>
        </w:rPr>
        <w:t>应对处置信息发布工作，在</w:t>
      </w:r>
      <w:r>
        <w:rPr>
          <w:rFonts w:hint="eastAsia"/>
          <w:lang w:val="en-US" w:eastAsia="zh-CN"/>
        </w:rPr>
        <w:t>县委宣传部</w:t>
      </w:r>
      <w:r>
        <w:rPr>
          <w:rFonts w:hint="default"/>
          <w:lang w:val="en-US" w:eastAsia="zh-CN"/>
        </w:rPr>
        <w:t>的组织指导下，按照有关规定，及时、准确、客观发布相关信息。未经批准，参与处置工作的单位和个人不得擅自对外发布事故信息。</w:t>
      </w:r>
      <w:bookmarkStart w:id="72" w:name="_Toc15015"/>
      <w:bookmarkStart w:id="73" w:name="_Toc6768"/>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4.7暂停救援与响应终止</w:t>
      </w:r>
      <w:bookmarkEnd w:id="72"/>
      <w:bookmarkEnd w:id="7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在救援中发现可能威胁救援人员生命安全或者可能造成次生灾害等情况时，履行统一领导职责的应急指挥机构可以决定暂停救援，并应采取措施消除隐患，化解风险。如果救援现场情况紧急，不立即暂停救援可能造成重大伤亡和损失的，现场救援队伍可以立即暂停救援，并在撤离至安全区域后及时向上级机构报告。隐患消除后，继续组织救援。</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在确认事故得到有效控制、危害已经消除后，或者暂停救援不具备恢复应急救援条件并经科学论证后，履行统一领导职责的应急指挥机构应当及时宣布应急响应终止，结束应急响应。</w:t>
      </w:r>
    </w:p>
    <w:p>
      <w:pPr>
        <w:pStyle w:val="2"/>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bookmarkStart w:id="74" w:name="_Toc14523"/>
      <w:bookmarkStart w:id="75" w:name="_Toc23464"/>
      <w:r>
        <w:rPr>
          <w:rFonts w:hint="eastAsia" w:ascii="黑体" w:hAnsi="黑体" w:eastAsia="黑体" w:cs="黑体"/>
          <w:b w:val="0"/>
          <w:bCs w:val="0"/>
          <w:sz w:val="32"/>
          <w:szCs w:val="32"/>
          <w:lang w:val="en-US" w:eastAsia="zh-CN"/>
        </w:rPr>
        <w:t>5后期处置</w:t>
      </w:r>
      <w:bookmarkEnd w:id="74"/>
      <w:bookmarkEnd w:id="75"/>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76" w:name="_Toc27448"/>
      <w:bookmarkStart w:id="77" w:name="_Toc25849"/>
      <w:r>
        <w:rPr>
          <w:rFonts w:hint="eastAsia" w:ascii="楷体_GB2312" w:hAnsi="楷体_GB2312" w:eastAsia="楷体_GB2312" w:cs="楷体_GB2312"/>
          <w:b w:val="0"/>
          <w:bCs w:val="0"/>
          <w:sz w:val="32"/>
          <w:szCs w:val="32"/>
          <w:lang w:val="en-US" w:eastAsia="zh-CN"/>
        </w:rPr>
        <w:t>5.1善后处置</w:t>
      </w:r>
      <w:bookmarkEnd w:id="76"/>
      <w:bookmarkEnd w:id="77"/>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政府负责组织善后处置工作，包括人员安置、补偿，征用物资补偿，事后重建，污染物收集、清理与处理等事项。尽快消除事故后果和影响，安抚受害和受影响人员，保证社会稳定，恢复正常秩序。必要时向白城市请求给予适当支持。</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78" w:name="_Toc5132"/>
      <w:bookmarkStart w:id="79" w:name="_Toc18176"/>
      <w:r>
        <w:rPr>
          <w:rFonts w:hint="eastAsia" w:ascii="楷体_GB2312" w:hAnsi="楷体_GB2312" w:eastAsia="楷体_GB2312" w:cs="楷体_GB2312"/>
          <w:b w:val="0"/>
          <w:bCs w:val="0"/>
          <w:sz w:val="32"/>
          <w:szCs w:val="32"/>
          <w:lang w:val="en-US" w:eastAsia="zh-CN"/>
        </w:rPr>
        <w:t>5.2调查评估</w:t>
      </w:r>
      <w:bookmarkEnd w:id="78"/>
      <w:bookmarkEnd w:id="79"/>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履行事故调查职责的政府应当对事故应对处置情况进行调查评估，提出处理意见，总结经验教训，提出改进建议。</w:t>
      </w:r>
      <w:bookmarkStart w:id="80" w:name="_Toc20441"/>
      <w:bookmarkStart w:id="81" w:name="_Toc11695"/>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6保障措施</w:t>
      </w:r>
      <w:bookmarkEnd w:id="80"/>
      <w:bookmarkEnd w:id="81"/>
      <w:bookmarkStart w:id="82" w:name="_Toc21524"/>
      <w:bookmarkStart w:id="83" w:name="_Toc32567"/>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6.1应急队伍和物资保障</w:t>
      </w:r>
      <w:bookmarkEnd w:id="82"/>
      <w:bookmarkEnd w:id="8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县政府应当加强</w:t>
      </w:r>
      <w:r>
        <w:rPr>
          <w:rFonts w:hint="eastAsia"/>
          <w:lang w:val="en-US" w:eastAsia="zh-CN"/>
        </w:rPr>
        <w:t>危险化学品</w:t>
      </w:r>
      <w:r>
        <w:rPr>
          <w:rFonts w:hint="default"/>
          <w:lang w:val="en-US" w:eastAsia="zh-CN"/>
        </w:rPr>
        <w:t>事故应急救援队伍建设，县相关负有危险化学品安全监督管理职责的部门根据危险化学品事故应急工作的需要，在重点行业、领域单独建立或者依托有条件的生产经营单位、社会组织建立应急救援队伍。鼓励支持生产经营单位和其他社会力量建立应急救援队伍。</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lang w:val="en-US" w:eastAsia="zh-CN"/>
        </w:rPr>
        <w:t>危险化学品单位</w:t>
      </w:r>
      <w:r>
        <w:rPr>
          <w:rFonts w:hint="default"/>
          <w:lang w:val="en-US" w:eastAsia="zh-CN"/>
        </w:rPr>
        <w:t>应当建立应急救援队伍，根据本单位可能发生的</w:t>
      </w:r>
      <w:r>
        <w:rPr>
          <w:rFonts w:hint="eastAsia"/>
          <w:lang w:val="en-US" w:eastAsia="zh-CN"/>
        </w:rPr>
        <w:t>危险化学品</w:t>
      </w:r>
      <w:r>
        <w:rPr>
          <w:rFonts w:hint="default"/>
          <w:lang w:val="en-US" w:eastAsia="zh-CN"/>
        </w:rPr>
        <w:t>事故特点和危害，配备必要的灭火、给排水、通风以及危险物品稀释、掩埋、收集等应急救援器材、设备和物资，并进行经常性维护、保养，保证正常运转。其中，</w:t>
      </w:r>
      <w:r>
        <w:rPr>
          <w:rFonts w:hint="eastAsia"/>
          <w:lang w:val="en-US" w:eastAsia="zh-CN"/>
        </w:rPr>
        <w:t>生产经营规模较小的</w:t>
      </w:r>
      <w:r>
        <w:rPr>
          <w:rFonts w:hint="default"/>
          <w:lang w:val="en-US" w:eastAsia="zh-CN"/>
        </w:rPr>
        <w:t>，可以不建立应急救援队伍，但应当指定兼职的应急救援人员。</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应急救援队伍的救援人员应当具备必要的专业知识、技能、身体素质和心理素质，配备必要的应急救援装备和物资，并定期组织训练</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县相关负有危险化学品安全监督管理职责的部门应当定期将本行业、本领域的应急救援队伍建立情况报送</w:t>
      </w:r>
      <w:r>
        <w:rPr>
          <w:rFonts w:hint="eastAsia"/>
          <w:lang w:val="en-US" w:eastAsia="zh-CN"/>
        </w:rPr>
        <w:t>县</w:t>
      </w:r>
      <w:r>
        <w:rPr>
          <w:rFonts w:hint="default"/>
          <w:lang w:val="en-US" w:eastAsia="zh-CN"/>
        </w:rPr>
        <w:t>政府，并依法向社会公布。</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应急救援队伍建设国家另有规定的，按照有关规定执行</w:t>
      </w:r>
      <w:r>
        <w:rPr>
          <w:rFonts w:hint="eastAsia"/>
          <w:lang w:val="en-US" w:eastAsia="zh-CN"/>
        </w:rPr>
        <w:t>。</w:t>
      </w:r>
      <w:bookmarkStart w:id="84" w:name="_Toc24275"/>
      <w:bookmarkStart w:id="85" w:name="_Toc10350"/>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6.2资金保障</w:t>
      </w:r>
      <w:bookmarkEnd w:id="84"/>
      <w:bookmarkEnd w:id="85"/>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危险化学品单位应当做好应急救援必要的资金准备。危险化学品单位事故应急救援资金首先由事故责任单位承担，事故责任单位暂时无力承担的，由县政府协调解决</w:t>
      </w:r>
      <w:r>
        <w:rPr>
          <w:rFonts w:hint="eastAsia"/>
          <w:lang w:val="en-US" w:eastAsia="zh-CN"/>
        </w:rPr>
        <w:t>。</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县政府应当将危险化学品事故应急工作经费列入同级财政预算，确保专款专用。</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6" w:name="_Toc21655"/>
      <w:bookmarkStart w:id="87" w:name="_Toc12395"/>
      <w:r>
        <w:rPr>
          <w:rFonts w:hint="eastAsia" w:ascii="楷体_GB2312" w:hAnsi="楷体_GB2312" w:eastAsia="楷体_GB2312" w:cs="楷体_GB2312"/>
          <w:b w:val="0"/>
          <w:bCs w:val="0"/>
          <w:sz w:val="32"/>
          <w:szCs w:val="32"/>
          <w:lang w:val="en-US" w:eastAsia="zh-CN"/>
        </w:rPr>
        <w:t>6.3避难场所保障</w:t>
      </w:r>
      <w:bookmarkEnd w:id="86"/>
      <w:bookmarkEnd w:id="87"/>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县政府、各乡镇政府（街道办事处）或政府派出机构应建设或确定能够满足人员紧急疏散需要的应急避难场所，建立维护和使用保障制度，保证疏散安置人员的基本生活需要。</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8" w:name="_Toc16882"/>
      <w:bookmarkStart w:id="89" w:name="_Toc20676"/>
      <w:r>
        <w:rPr>
          <w:rFonts w:hint="eastAsia" w:ascii="楷体_GB2312" w:hAnsi="楷体_GB2312" w:eastAsia="楷体_GB2312" w:cs="楷体_GB2312"/>
          <w:b w:val="0"/>
          <w:bCs w:val="0"/>
          <w:sz w:val="32"/>
          <w:szCs w:val="32"/>
          <w:lang w:val="en-US" w:eastAsia="zh-CN"/>
        </w:rPr>
        <w:t>6.4技术保障</w:t>
      </w:r>
      <w:bookmarkEnd w:id="88"/>
      <w:bookmarkEnd w:id="89"/>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通榆县</w:t>
      </w:r>
      <w:r>
        <w:rPr>
          <w:rFonts w:hint="default"/>
          <w:lang w:val="en-US" w:eastAsia="zh-CN"/>
        </w:rPr>
        <w:t>依托省、市应急管理</w:t>
      </w:r>
      <w:r>
        <w:rPr>
          <w:rFonts w:hint="eastAsia"/>
          <w:lang w:val="en-US" w:eastAsia="zh-CN"/>
        </w:rPr>
        <w:t>（安全生产）</w:t>
      </w:r>
      <w:r>
        <w:rPr>
          <w:rFonts w:hint="default"/>
          <w:lang w:val="en-US" w:eastAsia="zh-CN"/>
        </w:rPr>
        <w:t>专家库，为应急救援提供技术支持和保障。充分发挥相关行业、领域的机构和专家的作用，组织研发专业应急处置技术，加强技术储备</w:t>
      </w:r>
      <w:r>
        <w:rPr>
          <w:rFonts w:hint="eastAsia"/>
          <w:lang w:val="en-US" w:eastAsia="zh-CN"/>
        </w:rPr>
        <w:t>。</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0" w:name="_Toc10395"/>
      <w:bookmarkStart w:id="91" w:name="_Toc12413"/>
      <w:r>
        <w:rPr>
          <w:rFonts w:hint="eastAsia" w:ascii="楷体_GB2312" w:hAnsi="楷体_GB2312" w:eastAsia="楷体_GB2312" w:cs="楷体_GB2312"/>
          <w:b w:val="0"/>
          <w:bCs w:val="0"/>
          <w:sz w:val="32"/>
          <w:szCs w:val="32"/>
          <w:lang w:val="en-US" w:eastAsia="zh-CN"/>
        </w:rPr>
        <w:t>6.5治安和交通运输保障</w:t>
      </w:r>
      <w:bookmarkEnd w:id="90"/>
      <w:bookmarkEnd w:id="91"/>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发生危险化学品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运送畅通，形成快速、高效、顺畅、协调的应急运输系统</w:t>
      </w:r>
      <w:r>
        <w:rPr>
          <w:rFonts w:hint="eastAsia"/>
          <w:lang w:val="en-US" w:eastAsia="zh-CN"/>
        </w:rPr>
        <w:t>。</w:t>
      </w:r>
      <w:bookmarkStart w:id="92" w:name="_Toc22624"/>
      <w:bookmarkStart w:id="93" w:name="_Toc20982"/>
    </w:p>
    <w:p>
      <w:pPr>
        <w:pageBreakBefore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6.6医疗卫生保障</w:t>
      </w:r>
      <w:bookmarkEnd w:id="92"/>
      <w:bookmarkEnd w:id="93"/>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县卫生健康局负责做好伤员急救、转运和后续救治以及有关卫生防疫工作。</w:t>
      </w:r>
      <w:r>
        <w:rPr>
          <w:rFonts w:hint="eastAsia"/>
          <w:lang w:val="en-US" w:eastAsia="zh-CN"/>
        </w:rPr>
        <w:t>县</w:t>
      </w:r>
      <w:r>
        <w:rPr>
          <w:rFonts w:hint="default"/>
          <w:lang w:val="en-US" w:eastAsia="zh-CN"/>
        </w:rPr>
        <w:t>红十字会等社会救援组织积极配合专业医疗队伍参与救援工作。</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4" w:name="_Toc3590"/>
      <w:bookmarkStart w:id="95" w:name="_Toc25294"/>
      <w:r>
        <w:rPr>
          <w:rFonts w:hint="eastAsia" w:ascii="楷体_GB2312" w:hAnsi="楷体_GB2312" w:eastAsia="楷体_GB2312" w:cs="楷体_GB2312"/>
          <w:b w:val="0"/>
          <w:bCs w:val="0"/>
          <w:sz w:val="32"/>
          <w:szCs w:val="32"/>
          <w:lang w:val="en-US" w:eastAsia="zh-CN"/>
        </w:rPr>
        <w:t>6.7社会动员保障</w:t>
      </w:r>
      <w:bookmarkEnd w:id="94"/>
      <w:bookmarkEnd w:id="95"/>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w:t>
      </w:r>
      <w:r>
        <w:rPr>
          <w:rFonts w:hint="default"/>
          <w:lang w:val="en-US" w:eastAsia="zh-CN"/>
        </w:rPr>
        <w:t>政府</w:t>
      </w:r>
      <w:r>
        <w:rPr>
          <w:rFonts w:hint="eastAsia"/>
          <w:lang w:val="en-US" w:eastAsia="zh-CN"/>
        </w:rPr>
        <w:t>、各乡镇政府（街道办事处）</w:t>
      </w:r>
      <w:r>
        <w:rPr>
          <w:rFonts w:hint="default"/>
          <w:lang w:val="en-US" w:eastAsia="zh-CN"/>
        </w:rPr>
        <w:t>根据处置工作需要，可以调集、征用国家机关、企事业单位、社会团体等机构以及个人的物资、装备，应急工作结束后应及时返还。财产被征用或者征用后毁损、灭失的，应给予补偿。鼓励、动员公民、法人和其他社会组织向应对危险化学品事故提供应急物资、资金以及人力支援</w:t>
      </w:r>
      <w:r>
        <w:rPr>
          <w:rFonts w:hint="eastAsia"/>
          <w:lang w:val="en-US" w:eastAsia="zh-CN"/>
        </w:rPr>
        <w:t>。</w:t>
      </w:r>
    </w:p>
    <w:p>
      <w:pPr>
        <w:pStyle w:val="2"/>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bookmarkStart w:id="96" w:name="_Toc3493"/>
      <w:bookmarkStart w:id="97" w:name="_Toc27371"/>
      <w:r>
        <w:rPr>
          <w:rFonts w:hint="eastAsia" w:ascii="黑体" w:hAnsi="黑体" w:eastAsia="黑体" w:cs="黑体"/>
          <w:b w:val="0"/>
          <w:bCs w:val="0"/>
          <w:sz w:val="32"/>
          <w:szCs w:val="32"/>
          <w:lang w:val="en-US" w:eastAsia="zh-CN"/>
        </w:rPr>
        <w:t>7附则</w:t>
      </w:r>
      <w:bookmarkEnd w:id="96"/>
      <w:bookmarkEnd w:id="97"/>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8" w:name="_Toc7877"/>
      <w:bookmarkStart w:id="99" w:name="_Toc4950"/>
      <w:r>
        <w:rPr>
          <w:rFonts w:hint="eastAsia" w:ascii="楷体_GB2312" w:hAnsi="楷体_GB2312" w:eastAsia="楷体_GB2312" w:cs="楷体_GB2312"/>
          <w:b w:val="0"/>
          <w:bCs w:val="0"/>
          <w:sz w:val="32"/>
          <w:szCs w:val="32"/>
          <w:lang w:val="en-US" w:eastAsia="zh-CN"/>
        </w:rPr>
        <w:t>7.1责任与奖惩</w:t>
      </w:r>
      <w:bookmarkEnd w:id="98"/>
      <w:bookmarkEnd w:id="99"/>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依据法律、法规和有关规定，对在危险化学品事故应急救援工作中有突出贡献的单位和个人给予激励；对迟报、谎报、瞒报和漏报危险化学品事故重要情况，应急处置不力，或者在危险化学品事故应急救援工作中有其他失职、渎职行为的人员，依照有关规定给予处分；构成犯罪的，依法追究刑事责任</w:t>
      </w:r>
      <w:r>
        <w:rPr>
          <w:rFonts w:hint="eastAsia"/>
          <w:lang w:val="en-US" w:eastAsia="zh-CN"/>
        </w:rPr>
        <w:t>。</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00" w:name="_Toc17855"/>
      <w:bookmarkStart w:id="101" w:name="_Toc9821"/>
      <w:r>
        <w:rPr>
          <w:rFonts w:hint="eastAsia" w:ascii="楷体_GB2312" w:hAnsi="楷体_GB2312" w:eastAsia="楷体_GB2312" w:cs="楷体_GB2312"/>
          <w:b w:val="0"/>
          <w:bCs w:val="0"/>
          <w:sz w:val="32"/>
          <w:szCs w:val="32"/>
          <w:lang w:val="en-US" w:eastAsia="zh-CN"/>
        </w:rPr>
        <w:t>7.2宣传教育</w:t>
      </w:r>
      <w:bookmarkEnd w:id="100"/>
      <w:bookmarkEnd w:id="101"/>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各有关部门和单位应当加强安全生产法律、法规和事故预防、避险、避灾、自救、互救常识的宣传培训，提高全民安全意识和应急避险能力</w:t>
      </w:r>
      <w:r>
        <w:rPr>
          <w:rFonts w:hint="eastAsia"/>
          <w:lang w:val="en-US" w:eastAsia="zh-CN"/>
        </w:rPr>
        <w:t>。</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02" w:name="_Toc8637"/>
      <w:bookmarkStart w:id="103" w:name="_Toc24034"/>
      <w:r>
        <w:rPr>
          <w:rFonts w:hint="eastAsia" w:ascii="楷体_GB2312" w:hAnsi="楷体_GB2312" w:eastAsia="楷体_GB2312" w:cs="楷体_GB2312"/>
          <w:b w:val="0"/>
          <w:bCs w:val="0"/>
          <w:sz w:val="32"/>
          <w:szCs w:val="32"/>
          <w:lang w:val="en-US" w:eastAsia="zh-CN"/>
        </w:rPr>
        <w:t>7.3预案管理</w:t>
      </w:r>
      <w:bookmarkEnd w:id="102"/>
      <w:bookmarkEnd w:id="103"/>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本预案由县应急管理局负责解释。</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default"/>
          <w:lang w:val="en-US" w:eastAsia="zh-CN"/>
        </w:rPr>
        <w:t>危险化学品单位按照有关法律、法规、规章、标准和上位预案等编制修订本单位</w:t>
      </w:r>
      <w:r>
        <w:rPr>
          <w:rFonts w:hint="eastAsia"/>
          <w:lang w:val="en-US" w:eastAsia="zh-CN"/>
        </w:rPr>
        <w:t>危险化学品</w:t>
      </w:r>
      <w:r>
        <w:rPr>
          <w:rFonts w:hint="default"/>
          <w:lang w:val="en-US" w:eastAsia="zh-CN"/>
        </w:rPr>
        <w:t>事故应急预案，加强与上位预案衔接，结合实际编制工作手册、行动方案、应急处置卡等预案支撑文本，并强化贯彻实施</w:t>
      </w:r>
      <w:r>
        <w:rPr>
          <w:rFonts w:hint="eastAsia"/>
          <w:lang w:val="en-US" w:eastAsia="zh-CN"/>
        </w:rPr>
        <w:t>。危险化学品单位应当将其危险化学品事故应急预案报县应急管理局和白城市应急管理局备案。</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县危险化学品事故应急预案应当至少每２年组织１次应急演练。</w:t>
      </w:r>
    </w:p>
    <w:p>
      <w:pPr>
        <w:pageBreakBefore w:val="0"/>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危险化学品单位应当至少每半年组织１危险化学品事故应急演练，并将演练情况报送县应急管理局和白城市应急管理局</w:t>
      </w:r>
      <w:r>
        <w:rPr>
          <w:rFonts w:hint="eastAsia"/>
          <w:lang w:val="en-US" w:eastAsia="zh-CN"/>
        </w:rPr>
        <w:t>。</w:t>
      </w:r>
    </w:p>
    <w:p>
      <w:pPr>
        <w:pStyle w:val="3"/>
        <w:keepNext/>
        <w:keepLines/>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04" w:name="_Toc3800"/>
      <w:bookmarkStart w:id="105" w:name="_Toc4489"/>
      <w:r>
        <w:rPr>
          <w:rFonts w:hint="eastAsia" w:ascii="楷体_GB2312" w:hAnsi="楷体_GB2312" w:eastAsia="楷体_GB2312" w:cs="楷体_GB2312"/>
          <w:b w:val="0"/>
          <w:bCs w:val="0"/>
          <w:sz w:val="32"/>
          <w:szCs w:val="32"/>
          <w:lang w:val="en-US" w:eastAsia="zh-CN"/>
        </w:rPr>
        <w:t>7.4预案实施</w:t>
      </w:r>
      <w:bookmarkEnd w:id="104"/>
      <w:bookmarkEnd w:id="105"/>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lang w:val="en-US" w:eastAsia="zh-CN"/>
        </w:rPr>
        <w:t>本预案自发布之日起实施。</w:t>
      </w:r>
    </w:p>
    <w:p>
      <w:pPr>
        <w:pageBreakBefore w:val="0"/>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p>
    <w:p>
      <w:pPr>
        <w:pStyle w:val="15"/>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附件：县生产安全事故应急指挥部主要成员单位及其职责</w:t>
      </w:r>
    </w:p>
    <w:p>
      <w:pPr>
        <w:pStyle w:val="2"/>
        <w:keepNext/>
        <w:keepLines/>
        <w:pageBreakBefore/>
        <w:widowControl/>
        <w:kinsoku/>
        <w:wordWrap/>
        <w:overflowPunct/>
        <w:topLinePunct w:val="0"/>
        <w:autoSpaceDE/>
        <w:autoSpaceDN/>
        <w:bidi w:val="0"/>
        <w:adjustRightInd/>
        <w:snapToGrid/>
        <w:spacing w:before="0" w:beforeLines="0" w:after="313" w:afterLines="100"/>
        <w:textAlignment w:val="auto"/>
        <w:rPr>
          <w:rFonts w:hint="eastAsia" w:ascii="黑体" w:hAnsi="黑体" w:eastAsia="黑体" w:cs="黑体"/>
          <w:b w:val="0"/>
          <w:bCs w:val="0"/>
          <w:sz w:val="28"/>
          <w:szCs w:val="28"/>
          <w:lang w:val="en-US" w:eastAsia="zh-CN"/>
        </w:rPr>
      </w:pPr>
      <w:bookmarkStart w:id="106" w:name="_Toc24194"/>
      <w:bookmarkStart w:id="107" w:name="_Toc28179"/>
      <w:r>
        <w:rPr>
          <w:rFonts w:hint="eastAsia" w:ascii="黑体" w:hAnsi="黑体" w:eastAsia="黑体" w:cs="黑体"/>
          <w:b w:val="0"/>
          <w:bCs w:val="0"/>
          <w:sz w:val="28"/>
          <w:szCs w:val="28"/>
          <w:lang w:val="en-US" w:eastAsia="zh-CN"/>
        </w:rPr>
        <w:t>附件</w:t>
      </w:r>
      <w:bookmarkEnd w:id="106"/>
      <w:bookmarkEnd w:id="107"/>
    </w:p>
    <w:p>
      <w:pPr>
        <w:pStyle w:val="15"/>
        <w:bidi w:val="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县生产安全事故应急指挥部</w:t>
      </w:r>
    </w:p>
    <w:p>
      <w:pPr>
        <w:pStyle w:val="15"/>
        <w:bidi w:val="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主要成员单位及其职责</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县委组织部：</w:t>
      </w:r>
      <w:r>
        <w:rPr>
          <w:rFonts w:hint="default"/>
          <w:b w:val="0"/>
          <w:bCs w:val="0"/>
          <w:lang w:val="en-US" w:eastAsia="zh-CN"/>
        </w:rPr>
        <w:t>负责负有安全生产监督管理职责的有关部门领导班子建设。将安全生产“一岗双责”履职情况作为考核评价和使用干部的重要参考。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县委宣传部：</w:t>
      </w:r>
      <w:r>
        <w:rPr>
          <w:rFonts w:hint="default"/>
          <w:b w:val="0"/>
          <w:bCs w:val="0"/>
          <w:lang w:val="en-US" w:eastAsia="zh-CN"/>
        </w:rPr>
        <w:t>组织指导生产安全事故应对处置相关信息发布和舆情引导工作。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县总工会：</w:t>
      </w:r>
      <w:r>
        <w:rPr>
          <w:rFonts w:hint="default"/>
          <w:b w:val="0"/>
          <w:bCs w:val="0"/>
          <w:lang w:val="en-US" w:eastAsia="zh-CN"/>
        </w:rPr>
        <w:t>依法对安全生产工作进行监督，反映劳动者的诉求，指导各地工会依法组织职工参加本单位安全生产工作的民主管理和民主监督，维护职工在安全生产方面的合法权益。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县发展和改革局：</w:t>
      </w:r>
      <w:r>
        <w:rPr>
          <w:rFonts w:hint="default"/>
          <w:b w:val="0"/>
          <w:bCs w:val="0"/>
          <w:lang w:val="en-US" w:eastAsia="zh-CN"/>
        </w:rPr>
        <w:t>将安全生产工作纳入国民经济和社会发展规划，并协调有关部门组织实施。组织指导协调人防工程领域生产安全事故应急工作。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县教育局：</w:t>
      </w:r>
      <w:r>
        <w:rPr>
          <w:rFonts w:hint="default"/>
          <w:b w:val="0"/>
          <w:bCs w:val="0"/>
          <w:lang w:val="en-US" w:eastAsia="zh-CN"/>
        </w:rPr>
        <w:t>组织指导协调教育系统生产安全事故应急工作。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县工业和信息化局：</w:t>
      </w:r>
      <w:r>
        <w:rPr>
          <w:rFonts w:hint="default"/>
          <w:b w:val="0"/>
          <w:bCs w:val="0"/>
          <w:lang w:val="en-US" w:eastAsia="zh-CN"/>
        </w:rPr>
        <w:t>组织指导协调民爆物品生产销售行业领域生产安全事故应急工作；按照县级医药储备管理规定，动用事故处置所需县级医药储备。将安全生产科技进步纳入科技发展规划和县级财政科技计划并组织实施。负责安全生产重大科技攻关、基础研究和应用研究的组织指导工作，会同有关部门推动安全生产科研成果的转化应用。指导县通信行业加强安全生产管理工作。负责县电信运营企业及电信运营设施的安全生产监督管理，并为生产安全事故应急救援提供通信保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县民族宗教事务局：</w:t>
      </w:r>
      <w:r>
        <w:rPr>
          <w:rFonts w:hint="default"/>
          <w:b w:val="0"/>
          <w:bCs w:val="0"/>
          <w:lang w:val="en-US" w:eastAsia="zh-CN"/>
        </w:rPr>
        <w:t>负责指导监督宗教活动场所安全生产工作，组织指导协调宗教活动场所生产安全事故应急工作。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县公安局：</w:t>
      </w:r>
      <w:r>
        <w:rPr>
          <w:rFonts w:hint="default"/>
          <w:b w:val="0"/>
          <w:bCs w:val="0"/>
          <w:lang w:val="en-US" w:eastAsia="zh-CN"/>
        </w:rPr>
        <w:t>组织指导协调道路交通事故应急工作；组织指导协调事发地的现场治安管理、道路交通管制、涉嫌犯罪行为的依法侦查、重点设施目标的安全保卫等工作。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lang w:val="en-US" w:eastAsia="zh-CN"/>
        </w:rPr>
        <w:t>县民政局：指</w:t>
      </w:r>
      <w:r>
        <w:rPr>
          <w:rFonts w:hint="default"/>
          <w:b w:val="0"/>
          <w:bCs w:val="0"/>
          <w:lang w:val="en-US" w:eastAsia="zh-CN"/>
        </w:rPr>
        <w:t>导养老院等民政社会福利机构安全生产工作，参与生产安全事故应急处置；指导协调相关遇难人员遗体处置、困难群众基本社会服务等事务。</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县司法局：</w:t>
      </w:r>
      <w:r>
        <w:rPr>
          <w:rFonts w:hint="default"/>
          <w:b w:val="0"/>
          <w:bCs w:val="0"/>
          <w:lang w:val="en-US" w:eastAsia="zh-CN"/>
        </w:rPr>
        <w:t>组织指导协调司法行政戒毒场所生产安全事故应急工作。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县财政局：</w:t>
      </w:r>
      <w:r>
        <w:rPr>
          <w:rFonts w:hint="default"/>
          <w:b w:val="0"/>
          <w:bCs w:val="0"/>
          <w:lang w:val="en-US" w:eastAsia="zh-CN"/>
        </w:rPr>
        <w:t>负责保障由县财政承担的应急工作资金，并对应急资金的使用、管理进行监督。</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县人力资源和社会保障局：</w:t>
      </w:r>
      <w:r>
        <w:rPr>
          <w:rFonts w:hint="default"/>
          <w:b w:val="0"/>
          <w:bCs w:val="0"/>
          <w:lang w:val="en-US" w:eastAsia="zh-CN"/>
        </w:rPr>
        <w:t>组织指导协调生产安全事故伤亡人员的工伤认定、劳动能力鉴定和工伤保险待遇支付等工作。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县自然资源局：</w:t>
      </w:r>
      <w:r>
        <w:rPr>
          <w:rFonts w:hint="default"/>
          <w:b w:val="0"/>
          <w:bCs w:val="0"/>
          <w:lang w:val="en-US" w:eastAsia="zh-CN"/>
        </w:rPr>
        <w:t>组织指导协调地质勘查和测绘行业领域的生产安全事故应急工作，参与山体崩塌、滑坡、泥石流等地质灾害引发的事故处置技术支撑工作。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县林业和草原局：</w:t>
      </w:r>
      <w:r>
        <w:rPr>
          <w:rFonts w:hint="eastAsia"/>
          <w:b w:val="0"/>
          <w:bCs w:val="0"/>
          <w:lang w:val="en-US" w:eastAsia="zh-CN"/>
        </w:rPr>
        <w:t>县森林和</w:t>
      </w:r>
      <w:r>
        <w:rPr>
          <w:rFonts w:hint="default"/>
          <w:b w:val="0"/>
          <w:bCs w:val="0"/>
          <w:lang w:val="en-US" w:eastAsia="zh-CN"/>
        </w:rPr>
        <w:t>指导协调林木采伐、草地收割等生产经营作业领域生产安全事故应急工作。组织指导协调森林草原火灾预防、初期处置和应急装备、物资储备保障等工作。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白城市生态环境局通榆县分局：</w:t>
      </w:r>
      <w:r>
        <w:rPr>
          <w:rFonts w:hint="default"/>
          <w:b w:val="0"/>
          <w:bCs w:val="0"/>
          <w:lang w:val="en-US" w:eastAsia="zh-CN"/>
        </w:rPr>
        <w:t>组织指导协调因生产安全事故产生的次生环境事件现场环境应急监测及处置。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县住房和城乡建设局：</w:t>
      </w:r>
      <w:r>
        <w:rPr>
          <w:rFonts w:hint="default"/>
          <w:b w:val="0"/>
          <w:bCs w:val="0"/>
          <w:lang w:val="en-US" w:eastAsia="zh-CN"/>
        </w:rPr>
        <w:t>组织指导协调房屋建筑、市政基础设施生产安全事故应急工作。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县交通运输局：</w:t>
      </w:r>
      <w:r>
        <w:rPr>
          <w:rFonts w:hint="default"/>
          <w:b w:val="0"/>
          <w:bCs w:val="0"/>
          <w:lang w:val="en-US" w:eastAsia="zh-CN"/>
        </w:rPr>
        <w:t>组织指导协调公路水路工程建设事故、地方管理水域水上交通事故；参与道路交通运输事故应对处置工作；组织协调车辆及船舶，保障应急救援人员、物资运输。</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县水利局：</w:t>
      </w:r>
      <w:r>
        <w:rPr>
          <w:rFonts w:hint="default"/>
          <w:b w:val="0"/>
          <w:bCs w:val="0"/>
          <w:lang w:val="en-US" w:eastAsia="zh-CN"/>
        </w:rPr>
        <w:t>组织指导协调水利工程建设和运行的生产安全事故应急工作，组织协调提供生产安全事故处置水情等信息。</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县农业农村局：</w:t>
      </w:r>
      <w:r>
        <w:rPr>
          <w:rFonts w:hint="default"/>
          <w:b w:val="0"/>
          <w:bCs w:val="0"/>
          <w:lang w:val="en-US" w:eastAsia="zh-CN"/>
        </w:rPr>
        <w:t>组织指导协调农机、渔业等农业行业生产安全事故应急工作。负责指导监督畜禽养殖和屠宰行业安全生产工作。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县商务局：</w:t>
      </w:r>
      <w:r>
        <w:rPr>
          <w:rFonts w:hint="default"/>
          <w:b w:val="0"/>
          <w:bCs w:val="0"/>
          <w:lang w:val="en-US" w:eastAsia="zh-CN"/>
        </w:rPr>
        <w:t>组织协调生产安全事故处置所需成品油、生活必需品供应保障。组织指导协调粮食流通、加工行业和县级物资储备承储单位生产安全事故应急工作，组织协调生产安全事故应对处置相关生活类应急救援物资保障。组织指导协调邮政行业（含快递）生产安全事故应急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县文化广播电视和旅游局：</w:t>
      </w:r>
      <w:r>
        <w:rPr>
          <w:rFonts w:hint="default"/>
          <w:b w:val="0"/>
          <w:bCs w:val="0"/>
          <w:lang w:val="en-US" w:eastAsia="zh-CN"/>
        </w:rPr>
        <w:t>组织指导协调文保单位、文化活动、文化场所和旅行社、星级饭店、旅游景区等文化旅游领域生产安全事故的应急工作。负责指导、监督广播电视机构及设施设备安全管理，指导推进全县应急广播和应急电视频道体系建设，落实县委、县政府和县安委会确定的安全生产宣传任务，将安全生产宣传纳入社会公益性宣传范畴。负责职责范围内的公共体育设施安全运行的监督管理。按照有关规定，负责监督指导游泳、滑雪、潜水、攀岩等高危险性体育项目、有关重要体育赛事和活动的安全管理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县卫生健康局：</w:t>
      </w:r>
      <w:r>
        <w:rPr>
          <w:rFonts w:hint="default"/>
          <w:b w:val="0"/>
          <w:bCs w:val="0"/>
          <w:lang w:val="en-US" w:eastAsia="zh-CN"/>
        </w:rPr>
        <w:t>组织指导协调生产安全事故处置相关应急医疗救援、心理康复和卫生防疫工作。负责卫生系统安全管理工作。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县应急管理局：</w:t>
      </w:r>
      <w:r>
        <w:rPr>
          <w:rFonts w:hint="default"/>
          <w:b w:val="0"/>
          <w:bCs w:val="0"/>
          <w:lang w:val="en-US" w:eastAsia="zh-CN"/>
        </w:rPr>
        <w:t>组织编制全县安全生产规划，负责安全生产综合监督管理工作，组织协调非煤矿山、危险化学品、冶金等工贸行业领域生产安全事故应急救援工作，统筹指导应急预案体系和应急救援力量建设，协调调度应急救援队伍和相关救援物资参与抢险救援。</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县市场监督管理局：</w:t>
      </w:r>
      <w:r>
        <w:rPr>
          <w:rFonts w:hint="default"/>
          <w:b w:val="0"/>
          <w:bCs w:val="0"/>
          <w:lang w:val="en-US" w:eastAsia="zh-CN"/>
        </w:rPr>
        <w:t>指导协调特种设备生产安全事故应急工作，参与指导协调生产安全事故中特种设备的应急检测检验与处置。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县政务服务局：</w:t>
      </w:r>
      <w:r>
        <w:rPr>
          <w:rFonts w:hint="default"/>
          <w:b w:val="0"/>
          <w:bCs w:val="0"/>
          <w:lang w:val="en-US" w:eastAsia="zh-CN"/>
        </w:rPr>
        <w:t>按照规定权限，负责安全生产监管方面政务信息化项目立项、审批工作。负责在安全生产监管方面提供数据共享通道和技术支撑。</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县能源局：</w:t>
      </w:r>
      <w:r>
        <w:rPr>
          <w:rFonts w:hint="default"/>
          <w:b w:val="0"/>
          <w:bCs w:val="0"/>
          <w:lang w:val="en-US" w:eastAsia="zh-CN"/>
        </w:rPr>
        <w:t>负责大面积停电事件的指导协调和组织管理工作，协调生产安全事故处置所需电力等能源应急保障。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县气象局：</w:t>
      </w:r>
      <w:r>
        <w:rPr>
          <w:rFonts w:hint="default"/>
          <w:b w:val="0"/>
          <w:bCs w:val="0"/>
          <w:lang w:val="en-US" w:eastAsia="zh-CN"/>
        </w:rPr>
        <w:t>负责为安全生产预防控制和事故应急救援提供气象服务保障。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lang w:val="en-US" w:eastAsia="zh-CN"/>
        </w:rPr>
      </w:pPr>
      <w:r>
        <w:rPr>
          <w:rFonts w:hint="eastAsia" w:ascii="楷体_GB2312" w:hAnsi="楷体_GB2312" w:eastAsia="楷体_GB2312" w:cs="楷体_GB2312"/>
          <w:b w:val="0"/>
          <w:bCs w:val="0"/>
          <w:color w:val="auto"/>
          <w:lang w:val="en-US" w:eastAsia="zh-CN"/>
        </w:rPr>
        <w:t>县消防救援大队、吉林省森林消防总队特勤大队二中队：</w:t>
      </w:r>
      <w:r>
        <w:rPr>
          <w:rFonts w:hint="default"/>
          <w:b w:val="0"/>
          <w:bCs w:val="0"/>
          <w:lang w:val="en-US" w:eastAsia="zh-CN"/>
        </w:rPr>
        <w:t>参与组织生产安全事故抢险救援，组织指挥除矿井地下部分等特殊对象以外的火灾扑救、人员搜救等。</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auto"/>
          <w:lang w:val="en-US" w:eastAsia="zh-CN"/>
        </w:rPr>
      </w:pPr>
      <w:r>
        <w:rPr>
          <w:rFonts w:hint="eastAsia" w:ascii="楷体_GB2312" w:hAnsi="楷体_GB2312" w:eastAsia="楷体_GB2312" w:cs="楷体_GB2312"/>
          <w:b w:val="0"/>
          <w:bCs w:val="0"/>
          <w:color w:val="auto"/>
          <w:lang w:val="en-US" w:eastAsia="zh-CN"/>
        </w:rPr>
        <w:t>通榆火车站：</w:t>
      </w:r>
      <w:r>
        <w:rPr>
          <w:rFonts w:hint="default"/>
          <w:b w:val="0"/>
          <w:bCs w:val="0"/>
          <w:lang w:val="en-US" w:eastAsia="zh-CN"/>
        </w:rPr>
        <w:t>组织协调辖区铁路运输生产安全事故应急</w:t>
      </w:r>
      <w:r>
        <w:rPr>
          <w:rFonts w:hint="default"/>
          <w:b w:val="0"/>
          <w:bCs w:val="0"/>
          <w:color w:val="auto"/>
          <w:lang w:val="en-US" w:eastAsia="zh-CN"/>
        </w:rPr>
        <w:t>工作，组织协调应急救援所需铁路运输保障。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auto"/>
          <w:lang w:val="en-US" w:eastAsia="zh-CN"/>
        </w:rPr>
      </w:pPr>
      <w:r>
        <w:rPr>
          <w:rFonts w:hint="eastAsia" w:ascii="楷体_GB2312" w:hAnsi="楷体_GB2312" w:eastAsia="楷体_GB2312" w:cs="楷体_GB2312"/>
          <w:b w:val="0"/>
          <w:bCs w:val="0"/>
          <w:color w:val="auto"/>
          <w:lang w:val="en-US" w:eastAsia="zh-CN"/>
        </w:rPr>
        <w:t>银保监组：</w:t>
      </w:r>
      <w:r>
        <w:rPr>
          <w:rFonts w:hint="default"/>
          <w:b w:val="0"/>
          <w:bCs w:val="0"/>
          <w:color w:val="auto"/>
          <w:lang w:val="en-US" w:eastAsia="zh-CN"/>
        </w:rPr>
        <w:t>负责安全生产责任保险监督管理相关工作，配合有关部门推动安全生产责任保险健康发展。督促有关保险机构按照法律、法规及保险合同约定做好保险理赔工作。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b w:val="0"/>
          <w:bCs w:val="0"/>
          <w:color w:val="C00000"/>
          <w:lang w:val="en-US" w:eastAsia="zh-CN"/>
        </w:rPr>
      </w:pPr>
    </w:p>
    <w:sectPr>
      <w:footerReference r:id="rId7" w:type="default"/>
      <w:pgSz w:w="11906" w:h="16838"/>
      <w:pgMar w:top="2041" w:right="1531" w:bottom="2041" w:left="1531" w:header="851" w:footer="167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firstLine="0" w:firstLineChars="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firstLine="0" w:firstLineChars="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ZjZiZWJjZGM3NjU0NGYyOGJkMTJmZWZkODZiYjMifQ=="/>
    <w:docVar w:name="KSO_WPS_MARK_KEY" w:val="ada8b9cd-0655-49f4-8084-ee4d8c1bc1fb"/>
  </w:docVars>
  <w:rsids>
    <w:rsidRoot w:val="00000000"/>
    <w:rsid w:val="00A44304"/>
    <w:rsid w:val="02057871"/>
    <w:rsid w:val="020918C4"/>
    <w:rsid w:val="022A49B8"/>
    <w:rsid w:val="026F6679"/>
    <w:rsid w:val="03775FF9"/>
    <w:rsid w:val="03FD0142"/>
    <w:rsid w:val="040102DC"/>
    <w:rsid w:val="05E360D9"/>
    <w:rsid w:val="063C0977"/>
    <w:rsid w:val="06F80FC7"/>
    <w:rsid w:val="078C47C9"/>
    <w:rsid w:val="0875641E"/>
    <w:rsid w:val="08B76FA9"/>
    <w:rsid w:val="097E0666"/>
    <w:rsid w:val="0AB73C6A"/>
    <w:rsid w:val="0B647356"/>
    <w:rsid w:val="0CDB3F0D"/>
    <w:rsid w:val="0D4B235F"/>
    <w:rsid w:val="0E7C21E0"/>
    <w:rsid w:val="0EB334D4"/>
    <w:rsid w:val="0F2A7BDA"/>
    <w:rsid w:val="122D2087"/>
    <w:rsid w:val="12BB1D22"/>
    <w:rsid w:val="142A67B4"/>
    <w:rsid w:val="158E028D"/>
    <w:rsid w:val="163C4306"/>
    <w:rsid w:val="16633876"/>
    <w:rsid w:val="1678262A"/>
    <w:rsid w:val="169661B0"/>
    <w:rsid w:val="16A8318F"/>
    <w:rsid w:val="17164D2D"/>
    <w:rsid w:val="172341B5"/>
    <w:rsid w:val="1A160042"/>
    <w:rsid w:val="1B4C5D8C"/>
    <w:rsid w:val="1D515EF5"/>
    <w:rsid w:val="1EB02E22"/>
    <w:rsid w:val="1F10002E"/>
    <w:rsid w:val="1F3F0A18"/>
    <w:rsid w:val="1F8877FE"/>
    <w:rsid w:val="1FFB2D51"/>
    <w:rsid w:val="210B4B54"/>
    <w:rsid w:val="21740B35"/>
    <w:rsid w:val="24AC5A52"/>
    <w:rsid w:val="25455D42"/>
    <w:rsid w:val="266D75E2"/>
    <w:rsid w:val="26B47AEB"/>
    <w:rsid w:val="280C22E7"/>
    <w:rsid w:val="28764358"/>
    <w:rsid w:val="29466894"/>
    <w:rsid w:val="2A3C5105"/>
    <w:rsid w:val="2AC1489B"/>
    <w:rsid w:val="2B240241"/>
    <w:rsid w:val="2BB83A7D"/>
    <w:rsid w:val="2C243291"/>
    <w:rsid w:val="2DA01F54"/>
    <w:rsid w:val="2DA7585E"/>
    <w:rsid w:val="2DE346CD"/>
    <w:rsid w:val="2ED13617"/>
    <w:rsid w:val="2F935C5D"/>
    <w:rsid w:val="306658EA"/>
    <w:rsid w:val="325A270F"/>
    <w:rsid w:val="344717FA"/>
    <w:rsid w:val="344A703E"/>
    <w:rsid w:val="3730642B"/>
    <w:rsid w:val="37444AF7"/>
    <w:rsid w:val="37977E1F"/>
    <w:rsid w:val="37A626ED"/>
    <w:rsid w:val="3A2A2A96"/>
    <w:rsid w:val="3BAF10D9"/>
    <w:rsid w:val="3BC10ECF"/>
    <w:rsid w:val="3C3B5A13"/>
    <w:rsid w:val="3DC140ED"/>
    <w:rsid w:val="3E2E6210"/>
    <w:rsid w:val="3F682B7F"/>
    <w:rsid w:val="400224F5"/>
    <w:rsid w:val="40A53C4B"/>
    <w:rsid w:val="413A4F8E"/>
    <w:rsid w:val="433A491E"/>
    <w:rsid w:val="43654CB3"/>
    <w:rsid w:val="44CD424F"/>
    <w:rsid w:val="45264B07"/>
    <w:rsid w:val="4768644E"/>
    <w:rsid w:val="4918125D"/>
    <w:rsid w:val="4A7C4C64"/>
    <w:rsid w:val="4CF0697B"/>
    <w:rsid w:val="4E140D38"/>
    <w:rsid w:val="4EAE2FC8"/>
    <w:rsid w:val="4F0B3736"/>
    <w:rsid w:val="4FAF10B3"/>
    <w:rsid w:val="50754EFD"/>
    <w:rsid w:val="5084241A"/>
    <w:rsid w:val="510F32AA"/>
    <w:rsid w:val="533925A4"/>
    <w:rsid w:val="53CD037B"/>
    <w:rsid w:val="54D661E2"/>
    <w:rsid w:val="54ED7D64"/>
    <w:rsid w:val="54F44E62"/>
    <w:rsid w:val="54F665F3"/>
    <w:rsid w:val="569B408C"/>
    <w:rsid w:val="58533DF0"/>
    <w:rsid w:val="58AA3857"/>
    <w:rsid w:val="58E82487"/>
    <w:rsid w:val="58ED38EB"/>
    <w:rsid w:val="592F0FE5"/>
    <w:rsid w:val="596F0743"/>
    <w:rsid w:val="59960C2D"/>
    <w:rsid w:val="59B62FEE"/>
    <w:rsid w:val="5B3112D3"/>
    <w:rsid w:val="5B8B125A"/>
    <w:rsid w:val="5C0950B4"/>
    <w:rsid w:val="5D0656E1"/>
    <w:rsid w:val="5DDB60E1"/>
    <w:rsid w:val="613F394C"/>
    <w:rsid w:val="63F975E8"/>
    <w:rsid w:val="64BE2E12"/>
    <w:rsid w:val="661B5E1C"/>
    <w:rsid w:val="67E260DB"/>
    <w:rsid w:val="680D56B7"/>
    <w:rsid w:val="685E432C"/>
    <w:rsid w:val="696A6E60"/>
    <w:rsid w:val="69CF4DA1"/>
    <w:rsid w:val="6B4F07CF"/>
    <w:rsid w:val="6B555B6D"/>
    <w:rsid w:val="6BB40298"/>
    <w:rsid w:val="6C323D8E"/>
    <w:rsid w:val="6CEC4CF8"/>
    <w:rsid w:val="6DE276AB"/>
    <w:rsid w:val="6EA00A16"/>
    <w:rsid w:val="6F097550"/>
    <w:rsid w:val="6FC110D6"/>
    <w:rsid w:val="705B310F"/>
    <w:rsid w:val="707B23F7"/>
    <w:rsid w:val="715216F2"/>
    <w:rsid w:val="71BB7335"/>
    <w:rsid w:val="763B583E"/>
    <w:rsid w:val="77AB07A1"/>
    <w:rsid w:val="77CD7905"/>
    <w:rsid w:val="79564FEF"/>
    <w:rsid w:val="7D9003A0"/>
    <w:rsid w:val="7D9B2D0E"/>
    <w:rsid w:val="7EF762E5"/>
    <w:rsid w:val="7F2E4351"/>
    <w:rsid w:val="7FFE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8"/>
      <w:lang w:val="en-US" w:eastAsia="zh-CN" w:bidi="ar-SA"/>
    </w:rPr>
  </w:style>
  <w:style w:type="paragraph" w:styleId="2">
    <w:name w:val="heading 1"/>
    <w:next w:val="1"/>
    <w:autoRedefine/>
    <w:qFormat/>
    <w:uiPriority w:val="0"/>
    <w:pPr>
      <w:keepNext/>
      <w:keepLines/>
      <w:pageBreakBefore/>
      <w:spacing w:before="50" w:beforeLines="50" w:beforeAutospacing="0" w:after="50" w:afterLines="50" w:afterAutospacing="0" w:line="560" w:lineRule="exact"/>
      <w:outlineLvl w:val="0"/>
    </w:pPr>
    <w:rPr>
      <w:rFonts w:ascii="Times New Roman" w:hAnsi="Times New Roman" w:eastAsia="宋体" w:cstheme="minorBidi"/>
      <w:b/>
      <w:bCs/>
      <w:kern w:val="44"/>
      <w:sz w:val="32"/>
      <w:szCs w:val="32"/>
    </w:rPr>
  </w:style>
  <w:style w:type="paragraph" w:styleId="3">
    <w:name w:val="heading 2"/>
    <w:next w:val="1"/>
    <w:autoRedefine/>
    <w:unhideWhenUsed/>
    <w:qFormat/>
    <w:uiPriority w:val="0"/>
    <w:pPr>
      <w:keepNext/>
      <w:keepLines/>
      <w:pageBreakBefore w:val="0"/>
      <w:spacing w:before="50" w:beforeLines="50" w:beforeAutospacing="0" w:after="50" w:afterLines="50" w:afterAutospacing="0" w:line="560" w:lineRule="exact"/>
      <w:outlineLvl w:val="1"/>
    </w:pPr>
    <w:rPr>
      <w:rFonts w:ascii="Times New Roman" w:hAnsi="Times New Roman" w:eastAsia="宋体" w:cstheme="minorBidi"/>
      <w:b/>
      <w:bCs/>
      <w:sz w:val="28"/>
      <w:szCs w:val="28"/>
    </w:rPr>
  </w:style>
  <w:style w:type="paragraph" w:styleId="4">
    <w:name w:val="heading 3"/>
    <w:next w:val="1"/>
    <w:autoRedefine/>
    <w:unhideWhenUsed/>
    <w:qFormat/>
    <w:uiPriority w:val="0"/>
    <w:pPr>
      <w:keepNext/>
      <w:keepLines/>
      <w:spacing w:before="50" w:beforeLines="50" w:beforeAutospacing="0" w:after="50" w:afterLines="50" w:afterAutospacing="0" w:line="560" w:lineRule="exact"/>
      <w:outlineLvl w:val="2"/>
    </w:pPr>
    <w:rPr>
      <w:rFonts w:ascii="Times New Roman" w:hAnsi="Times New Roman" w:eastAsia="宋体" w:cstheme="minorBidi"/>
      <w:b/>
      <w:bCs/>
      <w:sz w:val="28"/>
      <w:szCs w:val="28"/>
    </w:rPr>
  </w:style>
  <w:style w:type="paragraph" w:styleId="5">
    <w:name w:val="heading 4"/>
    <w:next w:val="1"/>
    <w:autoRedefine/>
    <w:semiHidden/>
    <w:unhideWhenUsed/>
    <w:qFormat/>
    <w:uiPriority w:val="0"/>
    <w:pPr>
      <w:keepNext/>
      <w:keepLines/>
      <w:spacing w:before="50" w:beforeLines="50" w:beforeAutospacing="0" w:after="50" w:afterLines="50" w:afterAutospacing="0" w:line="560" w:lineRule="exact"/>
      <w:outlineLvl w:val="3"/>
    </w:pPr>
    <w:rPr>
      <w:rFonts w:ascii="Times New Roman" w:hAnsi="Times New Roman" w:eastAsia="宋体" w:cstheme="minorBidi"/>
      <w:b/>
      <w:bCs/>
      <w:sz w:val="28"/>
      <w:szCs w:val="28"/>
    </w:rPr>
  </w:style>
  <w:style w:type="paragraph" w:styleId="6">
    <w:name w:val="heading 5"/>
    <w:next w:val="1"/>
    <w:autoRedefine/>
    <w:semiHidden/>
    <w:unhideWhenUsed/>
    <w:qFormat/>
    <w:uiPriority w:val="0"/>
    <w:pPr>
      <w:keepNext/>
      <w:keepLines/>
      <w:spacing w:before="50" w:beforeLines="50" w:beforeAutospacing="0" w:after="50" w:afterLines="50" w:afterAutospacing="0" w:line="560" w:lineRule="exact"/>
      <w:outlineLvl w:val="4"/>
    </w:pPr>
    <w:rPr>
      <w:rFonts w:ascii="Times New Roman" w:hAnsi="Times New Roman" w:eastAsia="宋体" w:cstheme="minorBidi"/>
      <w:b/>
      <w:bCs/>
      <w:sz w:val="28"/>
      <w:szCs w:val="28"/>
    </w:rPr>
  </w:style>
  <w:style w:type="character" w:default="1" w:styleId="14">
    <w:name w:val="Default Paragraph Font"/>
    <w:autoRedefine/>
    <w:semiHidden/>
    <w:qFormat/>
    <w:uiPriority w:val="0"/>
    <w:rPr>
      <w:rFonts w:ascii="Times New Roman" w:hAnsi="Times New Roman" w:eastAsia="宋体"/>
      <w:sz w:val="84"/>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center"/>
    </w:pPr>
    <w:rPr>
      <w:rFonts w:ascii="Times New Roman" w:hAnsi="Times New Roman" w:eastAsia="黑体" w:cstheme="minorBidi"/>
      <w:sz w:val="21"/>
      <w:szCs w:val="21"/>
    </w:rPr>
  </w:style>
  <w:style w:type="paragraph" w:styleId="10">
    <w:name w:val="header"/>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rFonts w:ascii="Times New Roman" w:hAnsi="Times New Roman" w:eastAsia="黑体" w:cstheme="minorBidi"/>
      <w:sz w:val="21"/>
      <w:szCs w:val="21"/>
    </w:rPr>
  </w:style>
  <w:style w:type="paragraph" w:styleId="11">
    <w:name w:val="toc 1"/>
    <w:basedOn w:val="1"/>
    <w:next w:val="1"/>
    <w:autoRedefine/>
    <w:qFormat/>
    <w:uiPriority w:val="0"/>
    <w:rPr>
      <w:rFonts w:ascii="Times New Roman" w:hAnsi="Times New Roman" w:eastAsia="黑体"/>
      <w:sz w:val="18"/>
    </w:rPr>
  </w:style>
  <w:style w:type="paragraph" w:styleId="12">
    <w:name w:val="toc 2"/>
    <w:basedOn w:val="1"/>
    <w:next w:val="1"/>
    <w:autoRedefine/>
    <w:qFormat/>
    <w:uiPriority w:val="0"/>
    <w:pPr>
      <w:ind w:left="420" w:leftChars="200"/>
    </w:pPr>
    <w:rPr>
      <w:rFonts w:ascii="Times New Roman" w:hAnsi="Times New Roman" w:eastAsia="楷体_GB2312"/>
      <w:sz w:val="18"/>
    </w:rPr>
  </w:style>
  <w:style w:type="paragraph" w:customStyle="1" w:styleId="15">
    <w:name w:val="名称"/>
    <w:autoRedefine/>
    <w:qFormat/>
    <w:uiPriority w:val="0"/>
    <w:pPr>
      <w:spacing w:before="50" w:beforeLines="50" w:after="50" w:afterLines="50" w:line="560" w:lineRule="exact"/>
      <w:jc w:val="center"/>
    </w:pPr>
    <w:rPr>
      <w:rFonts w:ascii="宋体" w:hAnsi="宋体" w:eastAsia="宋体" w:cs="宋体"/>
      <w:b/>
      <w:bCs/>
      <w:sz w:val="44"/>
      <w:szCs w:val="44"/>
    </w:rPr>
  </w:style>
  <w:style w:type="paragraph" w:customStyle="1" w:styleId="16">
    <w:name w:val="报告"/>
    <w:next w:val="1"/>
    <w:autoRedefine/>
    <w:qFormat/>
    <w:uiPriority w:val="0"/>
    <w:pPr>
      <w:spacing w:before="50" w:beforeLines="50" w:after="50" w:afterLines="50" w:line="560" w:lineRule="exact"/>
      <w:jc w:val="center"/>
    </w:pPr>
    <w:rPr>
      <w:rFonts w:ascii="黑体" w:hAnsi="黑体" w:eastAsia="黑体" w:cs="黑体"/>
      <w:b/>
      <w:bCs/>
      <w:sz w:val="52"/>
      <w:szCs w:val="52"/>
    </w:rPr>
  </w:style>
  <w:style w:type="paragraph" w:customStyle="1" w:styleId="17">
    <w:name w:val="证书日期"/>
    <w:autoRedefine/>
    <w:qFormat/>
    <w:uiPriority w:val="0"/>
    <w:pPr>
      <w:spacing w:before="50" w:beforeLines="50" w:after="50" w:afterLines="50" w:line="560" w:lineRule="exact"/>
      <w:jc w:val="center"/>
    </w:pPr>
    <w:rPr>
      <w:rFonts w:ascii="宋体" w:hAnsi="宋体" w:eastAsia="宋体" w:cs="宋体"/>
      <w:b/>
      <w:bCs/>
      <w:sz w:val="32"/>
      <w:szCs w:val="32"/>
    </w:rPr>
  </w:style>
  <w:style w:type="paragraph" w:customStyle="1" w:styleId="18">
    <w:name w:val="内封名称"/>
    <w:autoRedefine/>
    <w:qFormat/>
    <w:uiPriority w:val="0"/>
    <w:pPr>
      <w:spacing w:before="50" w:beforeLines="50" w:after="50" w:afterLines="50" w:line="560" w:lineRule="exact"/>
      <w:jc w:val="center"/>
    </w:pPr>
    <w:rPr>
      <w:rFonts w:ascii="宋体" w:hAnsi="宋体" w:eastAsia="宋体" w:cs="宋体"/>
      <w:b/>
      <w:bCs/>
      <w:sz w:val="32"/>
      <w:szCs w:val="32"/>
    </w:rPr>
  </w:style>
  <w:style w:type="paragraph" w:customStyle="1" w:styleId="19">
    <w:name w:val="内封报告"/>
    <w:autoRedefine/>
    <w:qFormat/>
    <w:uiPriority w:val="0"/>
    <w:pPr>
      <w:spacing w:before="50" w:beforeLines="50" w:after="50" w:afterLines="50" w:line="560" w:lineRule="exact"/>
      <w:jc w:val="center"/>
    </w:pPr>
    <w:rPr>
      <w:rFonts w:ascii="宋体" w:hAnsi="宋体" w:eastAsia="宋体" w:cs="宋体"/>
      <w:b/>
      <w:bCs/>
      <w:sz w:val="44"/>
      <w:szCs w:val="44"/>
    </w:rPr>
  </w:style>
  <w:style w:type="paragraph" w:customStyle="1" w:styleId="20">
    <w:name w:val="内封人"/>
    <w:autoRedefine/>
    <w:qFormat/>
    <w:uiPriority w:val="0"/>
    <w:pPr>
      <w:spacing w:before="50" w:beforeLines="50" w:after="50" w:afterLines="50" w:line="560" w:lineRule="exact"/>
      <w:jc w:val="center"/>
    </w:pPr>
    <w:rPr>
      <w:rFonts w:ascii="宋体" w:hAnsi="宋体" w:eastAsia="宋体" w:cs="宋体"/>
      <w:sz w:val="28"/>
      <w:szCs w:val="28"/>
    </w:rPr>
  </w:style>
  <w:style w:type="paragraph" w:customStyle="1" w:styleId="21">
    <w:name w:val="内封日期"/>
    <w:autoRedefine/>
    <w:qFormat/>
    <w:uiPriority w:val="0"/>
    <w:pPr>
      <w:spacing w:before="50" w:beforeLines="50" w:after="50" w:afterLines="50" w:line="560" w:lineRule="exact"/>
      <w:jc w:val="center"/>
    </w:pPr>
    <w:rPr>
      <w:rFonts w:ascii="宋体" w:hAnsi="宋体" w:eastAsia="宋体" w:cs="宋体"/>
      <w:b/>
      <w:bCs/>
      <w:sz w:val="24"/>
      <w:szCs w:val="24"/>
    </w:rPr>
  </w:style>
  <w:style w:type="paragraph" w:customStyle="1" w:styleId="22">
    <w:name w:val="表格"/>
    <w:autoRedefine/>
    <w:qFormat/>
    <w:uiPriority w:val="0"/>
    <w:pPr>
      <w:jc w:val="center"/>
    </w:pPr>
    <w:rPr>
      <w:rFonts w:ascii="Times New Roman" w:hAnsi="Times New Roman" w:eastAsia="黑体" w:cstheme="minorBidi"/>
      <w:sz w:val="21"/>
      <w:szCs w:val="21"/>
    </w:rPr>
  </w:style>
  <w:style w:type="paragraph" w:customStyle="1" w:styleId="23">
    <w:name w:val="表头"/>
    <w:next w:val="22"/>
    <w:autoRedefine/>
    <w:qFormat/>
    <w:uiPriority w:val="0"/>
    <w:pPr>
      <w:spacing w:before="50" w:beforeLines="50" w:after="50" w:afterLines="50"/>
      <w:jc w:val="center"/>
    </w:pPr>
    <w:rPr>
      <w:rFonts w:ascii="Times New Roman" w:hAnsi="Times New Roman" w:eastAsia="黑体" w:cstheme="minorBid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13237</Words>
  <Characters>13544</Characters>
  <Lines>0</Lines>
  <Paragraphs>0</Paragraphs>
  <TotalTime>1</TotalTime>
  <ScaleCrop>false</ScaleCrop>
  <LinksUpToDate>false</LinksUpToDate>
  <CharactersWithSpaces>13598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2021-04-01T07:21:00Z</dcterms:created>
  <dc:creator>14279</dc:creator>
  <cp:lastModifiedBy>﹏嘴唇゛愛上煙</cp:lastModifiedBy>
  <cp:lastPrinted>2024-04-11T09:04:44Z</cp:lastPrinted>
  <dcterms:modified xsi:type="dcterms:W3CDTF">2024-04-11T09:05:11Z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998A8F20B1F044B48BDD5D49DF105724_13</vt:lpwstr>
  </property>
</Properties>
</file>